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6649" w14:textId="377FE228" w:rsidR="00B657E0" w:rsidRPr="00670F68" w:rsidRDefault="00B657E0" w:rsidP="00B657E0">
      <w:pPr>
        <w:rPr>
          <w:rFonts w:asciiTheme="majorHAnsi" w:hAnsiTheme="majorHAnsi"/>
        </w:rPr>
      </w:pPr>
    </w:p>
    <w:p w14:paraId="362FAF60" w14:textId="77777777" w:rsidR="0076000F" w:rsidRPr="00670F68" w:rsidRDefault="0076000F" w:rsidP="008E63E3">
      <w:pPr>
        <w:jc w:val="center"/>
        <w:rPr>
          <w:rFonts w:asciiTheme="majorHAnsi" w:hAnsiTheme="majorHAnsi"/>
        </w:rPr>
      </w:pPr>
    </w:p>
    <w:p w14:paraId="5E67D0D5" w14:textId="77777777" w:rsidR="008D3764" w:rsidRPr="008164EE" w:rsidRDefault="008D3764" w:rsidP="00C44D39">
      <w:pPr>
        <w:keepNext/>
        <w:jc w:val="center"/>
      </w:pPr>
    </w:p>
    <w:p w14:paraId="458E0667" w14:textId="3D943D14" w:rsidR="00941672" w:rsidRPr="00670F68" w:rsidRDefault="00941672" w:rsidP="00B72385">
      <w:pPr>
        <w:jc w:val="center"/>
        <w:rPr>
          <w:rFonts w:asciiTheme="majorHAnsi" w:hAnsiTheme="majorHAnsi"/>
          <w:highlight w:val="yellow"/>
        </w:rPr>
      </w:pPr>
      <w:r w:rsidRPr="00670F68">
        <w:rPr>
          <w:rFonts w:asciiTheme="majorHAnsi" w:hAnsiTheme="majorHAnsi"/>
          <w:highlight w:val="yellow"/>
        </w:rPr>
        <w:t xml:space="preserve"> </w:t>
      </w:r>
    </w:p>
    <w:p w14:paraId="17D65425" w14:textId="77178B51" w:rsidR="00941672" w:rsidRPr="00670F68" w:rsidRDefault="00941672" w:rsidP="00B72385">
      <w:pPr>
        <w:jc w:val="center"/>
        <w:rPr>
          <w:rFonts w:asciiTheme="majorHAnsi" w:hAnsiTheme="majorHAnsi"/>
          <w:highlight w:val="yellow"/>
        </w:rPr>
      </w:pPr>
    </w:p>
    <w:p w14:paraId="5D489E35" w14:textId="1FC70A48" w:rsidR="00240DBE" w:rsidRPr="00670F68" w:rsidRDefault="00006853" w:rsidP="00B72385">
      <w:pPr>
        <w:jc w:val="center"/>
        <w:rPr>
          <w:rFonts w:asciiTheme="majorHAnsi" w:hAnsiTheme="majorHAnsi"/>
          <w:highlight w:val="yellow"/>
        </w:rPr>
      </w:pPr>
      <w:r>
        <w:rPr>
          <w:rFonts w:asciiTheme="majorHAnsi" w:hAnsiTheme="majorHAnsi"/>
          <w:noProof/>
          <w:snapToGrid/>
        </w:rPr>
        <w:drawing>
          <wp:inline distT="0" distB="0" distL="0" distR="0" wp14:anchorId="31E23609" wp14:editId="769D205A">
            <wp:extent cx="4600030" cy="1788901"/>
            <wp:effectExtent l="0" t="0" r="0" b="1905"/>
            <wp:docPr id="27876798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67982" name="Picture 2"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5585" cy="1791061"/>
                    </a:xfrm>
                    <a:prstGeom prst="rect">
                      <a:avLst/>
                    </a:prstGeom>
                  </pic:spPr>
                </pic:pic>
              </a:graphicData>
            </a:graphic>
          </wp:inline>
        </w:drawing>
      </w:r>
    </w:p>
    <w:p w14:paraId="3B456AEC" w14:textId="77777777" w:rsidR="008D3764" w:rsidRPr="00670F68" w:rsidRDefault="008D3764" w:rsidP="00C44D39">
      <w:pPr>
        <w:rPr>
          <w:rFonts w:asciiTheme="majorHAnsi" w:hAnsiTheme="majorHAnsi"/>
        </w:rPr>
      </w:pPr>
    </w:p>
    <w:p w14:paraId="7123BED1" w14:textId="77777777" w:rsidR="00B72385" w:rsidRPr="00670F68" w:rsidRDefault="00B72385" w:rsidP="00B72385">
      <w:pPr>
        <w:jc w:val="center"/>
        <w:rPr>
          <w:rFonts w:asciiTheme="majorHAnsi" w:hAnsiTheme="majorHAnsi" w:cs="Arial"/>
          <w:b/>
        </w:rPr>
      </w:pPr>
    </w:p>
    <w:p w14:paraId="035C4507" w14:textId="77777777" w:rsidR="0076000F" w:rsidRPr="00670F68" w:rsidRDefault="0076000F" w:rsidP="00B72385">
      <w:pPr>
        <w:jc w:val="center"/>
        <w:rPr>
          <w:rFonts w:asciiTheme="majorHAnsi" w:hAnsiTheme="majorHAnsi" w:cs="Arial"/>
          <w:b/>
        </w:rPr>
      </w:pPr>
    </w:p>
    <w:p w14:paraId="31C53774" w14:textId="40EDD900" w:rsidR="00E85D66" w:rsidRPr="009422AA" w:rsidRDefault="00E80ED0" w:rsidP="00E85D66">
      <w:pPr>
        <w:jc w:val="center"/>
        <w:rPr>
          <w:rFonts w:asciiTheme="majorHAnsi" w:hAnsiTheme="majorHAnsi"/>
          <w:b/>
          <w:sz w:val="20"/>
          <w:szCs w:val="20"/>
          <w:highlight w:val="yellow"/>
        </w:rPr>
      </w:pPr>
      <w:r w:rsidRPr="00670F68">
        <w:rPr>
          <w:rFonts w:asciiTheme="majorHAnsi" w:hAnsiTheme="majorHAnsi"/>
          <w:b/>
        </w:rPr>
        <w:t xml:space="preserve">REQUEST FOR </w:t>
      </w:r>
      <w:r w:rsidR="0058589D" w:rsidRPr="00670F68">
        <w:rPr>
          <w:rFonts w:asciiTheme="majorHAnsi" w:hAnsiTheme="majorHAnsi"/>
          <w:b/>
        </w:rPr>
        <w:t>PROPOSALS</w:t>
      </w:r>
      <w:r w:rsidR="004464B8" w:rsidRPr="00670F68">
        <w:rPr>
          <w:rFonts w:asciiTheme="majorHAnsi" w:hAnsiTheme="majorHAnsi"/>
          <w:b/>
        </w:rPr>
        <w:t xml:space="preserve"> FOR </w:t>
      </w:r>
    </w:p>
    <w:p w14:paraId="75ED1DA7" w14:textId="0694B700" w:rsidR="00E85D66" w:rsidRPr="00CD365C" w:rsidRDefault="00CD365C" w:rsidP="00E85D66">
      <w:pPr>
        <w:jc w:val="center"/>
        <w:rPr>
          <w:rFonts w:asciiTheme="majorHAnsi" w:hAnsiTheme="majorHAnsi"/>
          <w:b/>
        </w:rPr>
      </w:pPr>
      <w:r w:rsidRPr="00CD365C">
        <w:rPr>
          <w:rFonts w:asciiTheme="majorHAnsi" w:hAnsiTheme="majorHAnsi"/>
          <w:b/>
        </w:rPr>
        <w:t xml:space="preserve">SS4A Comprehensive Safety Action Plan </w:t>
      </w:r>
    </w:p>
    <w:p w14:paraId="24977892" w14:textId="502AD4FC" w:rsidR="00E85D66" w:rsidRPr="00DC7ADC" w:rsidRDefault="00E85D66" w:rsidP="00E85D66">
      <w:pPr>
        <w:jc w:val="center"/>
        <w:rPr>
          <w:rFonts w:asciiTheme="majorHAnsi" w:hAnsiTheme="majorHAnsi"/>
          <w:b/>
          <w:sz w:val="20"/>
          <w:szCs w:val="20"/>
        </w:rPr>
      </w:pPr>
    </w:p>
    <w:p w14:paraId="33E1A1AA" w14:textId="61F937E7" w:rsidR="00B72385" w:rsidRPr="00670F68" w:rsidRDefault="00B72385" w:rsidP="00E85D66">
      <w:pPr>
        <w:jc w:val="center"/>
        <w:rPr>
          <w:rFonts w:asciiTheme="majorHAnsi" w:hAnsiTheme="majorHAnsi"/>
          <w:b/>
        </w:rPr>
      </w:pPr>
    </w:p>
    <w:p w14:paraId="06503259" w14:textId="77777777" w:rsidR="0035751B" w:rsidRPr="00670F68" w:rsidRDefault="0035751B" w:rsidP="00B72385">
      <w:pPr>
        <w:jc w:val="center"/>
        <w:rPr>
          <w:rFonts w:asciiTheme="majorHAnsi" w:hAnsiTheme="majorHAnsi"/>
          <w:b/>
        </w:rPr>
      </w:pPr>
    </w:p>
    <w:p w14:paraId="4DA83382" w14:textId="77777777" w:rsidR="0035751B" w:rsidRPr="00670F68" w:rsidRDefault="0035751B" w:rsidP="00B72385">
      <w:pPr>
        <w:jc w:val="center"/>
        <w:rPr>
          <w:rFonts w:asciiTheme="majorHAnsi" w:hAnsiTheme="majorHAnsi"/>
          <w:b/>
        </w:rPr>
      </w:pPr>
    </w:p>
    <w:p w14:paraId="48CCDE63" w14:textId="2D4CD04F" w:rsidR="00B72385" w:rsidRPr="00670F68" w:rsidRDefault="00014199" w:rsidP="00B72385">
      <w:pPr>
        <w:jc w:val="center"/>
        <w:rPr>
          <w:rFonts w:asciiTheme="majorHAnsi" w:hAnsiTheme="majorHAnsi"/>
          <w:b/>
        </w:rPr>
      </w:pPr>
      <w:r w:rsidRPr="00670F68">
        <w:rPr>
          <w:rFonts w:asciiTheme="majorHAnsi" w:hAnsiTheme="majorHAnsi"/>
          <w:b/>
        </w:rPr>
        <w:t>Date Released:</w:t>
      </w:r>
      <w:r w:rsidR="00EB760D">
        <w:rPr>
          <w:rFonts w:asciiTheme="majorHAnsi" w:hAnsiTheme="majorHAnsi"/>
          <w:b/>
        </w:rPr>
        <w:t xml:space="preserve"> </w:t>
      </w:r>
      <w:r w:rsidR="001528D2">
        <w:rPr>
          <w:rFonts w:asciiTheme="majorHAnsi" w:hAnsiTheme="majorHAnsi"/>
          <w:b/>
          <w:sz w:val="20"/>
          <w:szCs w:val="20"/>
        </w:rPr>
        <w:t>5/5/2026</w:t>
      </w:r>
      <w:r w:rsidR="00E85D66" w:rsidRPr="00660F9D" w:rsidDel="001E2559">
        <w:rPr>
          <w:rFonts w:asciiTheme="majorHAnsi" w:hAnsiTheme="majorHAnsi"/>
          <w:b/>
        </w:rPr>
        <w:t xml:space="preserve"> </w:t>
      </w:r>
    </w:p>
    <w:p w14:paraId="767C65D6" w14:textId="77777777" w:rsidR="001E521C" w:rsidRPr="00670F68" w:rsidRDefault="001E521C" w:rsidP="00B72385">
      <w:pPr>
        <w:jc w:val="center"/>
        <w:rPr>
          <w:rFonts w:asciiTheme="majorHAnsi" w:hAnsiTheme="majorHAnsi"/>
          <w:b/>
        </w:rPr>
      </w:pPr>
    </w:p>
    <w:p w14:paraId="1D5BB5D6" w14:textId="77777777" w:rsidR="0035751B" w:rsidRPr="00670F68" w:rsidRDefault="0035751B" w:rsidP="00B72385">
      <w:pPr>
        <w:jc w:val="center"/>
        <w:rPr>
          <w:rFonts w:asciiTheme="majorHAnsi" w:hAnsiTheme="majorHAnsi"/>
          <w:b/>
        </w:rPr>
      </w:pPr>
    </w:p>
    <w:p w14:paraId="02350AED" w14:textId="77777777" w:rsidR="0076000F" w:rsidRPr="00670F68" w:rsidRDefault="0076000F" w:rsidP="00B72385">
      <w:pPr>
        <w:jc w:val="center"/>
        <w:rPr>
          <w:rFonts w:asciiTheme="majorHAnsi" w:hAnsiTheme="majorHAnsi"/>
          <w:b/>
        </w:rPr>
      </w:pPr>
    </w:p>
    <w:p w14:paraId="47F0C7AB" w14:textId="77777777" w:rsidR="00C679A7" w:rsidRPr="00670F68" w:rsidRDefault="00C679A7" w:rsidP="00B72385">
      <w:pPr>
        <w:jc w:val="center"/>
        <w:rPr>
          <w:rFonts w:asciiTheme="majorHAnsi" w:hAnsiTheme="majorHAnsi"/>
          <w:b/>
        </w:rPr>
      </w:pPr>
    </w:p>
    <w:p w14:paraId="7C0A2383" w14:textId="6F0FBE12" w:rsidR="00D42B4E" w:rsidRPr="00670F68" w:rsidRDefault="00D42B4E" w:rsidP="00B72385">
      <w:pPr>
        <w:jc w:val="center"/>
        <w:rPr>
          <w:rFonts w:asciiTheme="majorHAnsi" w:hAnsiTheme="majorHAnsi"/>
          <w:b/>
        </w:rPr>
      </w:pPr>
      <w:r>
        <w:rPr>
          <w:rFonts w:asciiTheme="majorHAnsi" w:hAnsiTheme="majorHAnsi"/>
          <w:b/>
        </w:rPr>
        <w:t>THE TEHAMA</w:t>
      </w:r>
      <w:r w:rsidR="00CD365C">
        <w:rPr>
          <w:rFonts w:asciiTheme="majorHAnsi" w:hAnsiTheme="majorHAnsi"/>
          <w:b/>
        </w:rPr>
        <w:t xml:space="preserve"> COUNTY TRANSPORTATION COMMISSION</w:t>
      </w:r>
    </w:p>
    <w:p w14:paraId="72040499" w14:textId="097D2234" w:rsidR="001E2559" w:rsidRPr="00670F68" w:rsidRDefault="001E2559" w:rsidP="00B72385">
      <w:pPr>
        <w:jc w:val="center"/>
        <w:rPr>
          <w:rFonts w:asciiTheme="majorHAnsi" w:hAnsiTheme="majorHAnsi"/>
          <w:b/>
        </w:rPr>
      </w:pPr>
      <w:r w:rsidRPr="00670F68" w:rsidDel="001E2559">
        <w:rPr>
          <w:rFonts w:asciiTheme="majorHAnsi" w:hAnsiTheme="majorHAnsi"/>
          <w:b/>
        </w:rPr>
        <w:t xml:space="preserve"> </w:t>
      </w:r>
      <w:r w:rsidR="00B769FF">
        <w:rPr>
          <w:rFonts w:asciiTheme="majorHAnsi" w:hAnsiTheme="majorHAnsi"/>
          <w:b/>
        </w:rPr>
        <w:t>1509</w:t>
      </w:r>
      <w:r w:rsidRPr="00670F68">
        <w:rPr>
          <w:rFonts w:asciiTheme="majorHAnsi" w:hAnsiTheme="majorHAnsi"/>
          <w:b/>
        </w:rPr>
        <w:t xml:space="preserve"> </w:t>
      </w:r>
      <w:r w:rsidR="00B769FF">
        <w:rPr>
          <w:rFonts w:asciiTheme="majorHAnsi" w:hAnsiTheme="majorHAnsi"/>
          <w:b/>
        </w:rPr>
        <w:t>SCHWAB STREET</w:t>
      </w:r>
    </w:p>
    <w:p w14:paraId="41EC0B83" w14:textId="3A89A540" w:rsidR="001E2559" w:rsidRPr="00670F68" w:rsidRDefault="00B769FF" w:rsidP="00B72385">
      <w:pPr>
        <w:jc w:val="center"/>
        <w:rPr>
          <w:rFonts w:asciiTheme="majorHAnsi" w:hAnsiTheme="majorHAnsi"/>
          <w:b/>
        </w:rPr>
      </w:pPr>
      <w:r>
        <w:rPr>
          <w:rFonts w:asciiTheme="majorHAnsi" w:hAnsiTheme="majorHAnsi"/>
          <w:b/>
        </w:rPr>
        <w:t>RED BLUFF</w:t>
      </w:r>
      <w:r w:rsidR="001E2559" w:rsidRPr="00670F68">
        <w:rPr>
          <w:rFonts w:asciiTheme="majorHAnsi" w:hAnsiTheme="majorHAnsi"/>
          <w:b/>
        </w:rPr>
        <w:t>, CA 960</w:t>
      </w:r>
      <w:r>
        <w:rPr>
          <w:rFonts w:asciiTheme="majorHAnsi" w:hAnsiTheme="majorHAnsi"/>
          <w:b/>
        </w:rPr>
        <w:t>80</w:t>
      </w:r>
    </w:p>
    <w:p w14:paraId="65F356B6" w14:textId="3977CCE6" w:rsidR="00B72385" w:rsidRPr="00670F68" w:rsidRDefault="00B72385" w:rsidP="00B72385">
      <w:pPr>
        <w:jc w:val="center"/>
        <w:rPr>
          <w:rFonts w:asciiTheme="majorHAnsi" w:hAnsiTheme="majorHAnsi"/>
          <w:b/>
        </w:rPr>
      </w:pPr>
    </w:p>
    <w:p w14:paraId="43527EED" w14:textId="77777777" w:rsidR="00B72385" w:rsidRPr="00670F68" w:rsidRDefault="00B72385" w:rsidP="00B72385">
      <w:pPr>
        <w:jc w:val="center"/>
        <w:rPr>
          <w:rFonts w:asciiTheme="majorHAnsi" w:hAnsiTheme="majorHAnsi"/>
          <w:b/>
        </w:rPr>
      </w:pPr>
    </w:p>
    <w:p w14:paraId="1849529B" w14:textId="77777777" w:rsidR="0076000F" w:rsidRPr="00670F68" w:rsidRDefault="0076000F" w:rsidP="00B72385">
      <w:pPr>
        <w:jc w:val="center"/>
        <w:rPr>
          <w:rFonts w:asciiTheme="majorHAnsi" w:hAnsiTheme="majorHAnsi"/>
          <w:b/>
        </w:rPr>
      </w:pPr>
    </w:p>
    <w:p w14:paraId="4FF2C113" w14:textId="77777777" w:rsidR="0076000F" w:rsidRPr="00670F68" w:rsidRDefault="0076000F" w:rsidP="00B72385">
      <w:pPr>
        <w:jc w:val="center"/>
        <w:rPr>
          <w:rFonts w:asciiTheme="majorHAnsi" w:hAnsiTheme="majorHAnsi"/>
          <w:b/>
        </w:rPr>
      </w:pPr>
    </w:p>
    <w:p w14:paraId="2EE5DBA8" w14:textId="77777777" w:rsidR="0076000F" w:rsidRPr="00670F68" w:rsidRDefault="0076000F" w:rsidP="00B72385">
      <w:pPr>
        <w:jc w:val="center"/>
        <w:rPr>
          <w:rFonts w:asciiTheme="majorHAnsi" w:hAnsiTheme="majorHAnsi"/>
          <w:b/>
        </w:rPr>
      </w:pPr>
    </w:p>
    <w:p w14:paraId="43288922" w14:textId="38326500" w:rsidR="00C679A7" w:rsidRPr="00670F68" w:rsidRDefault="00B72385" w:rsidP="00C679A7">
      <w:pPr>
        <w:jc w:val="center"/>
        <w:rPr>
          <w:rFonts w:asciiTheme="majorHAnsi" w:hAnsiTheme="majorHAnsi"/>
          <w:b/>
          <w:u w:val="single"/>
        </w:rPr>
      </w:pPr>
      <w:r w:rsidRPr="00670F68">
        <w:rPr>
          <w:rFonts w:asciiTheme="majorHAnsi" w:hAnsiTheme="majorHAnsi"/>
          <w:b/>
          <w:u w:val="single"/>
        </w:rPr>
        <w:t xml:space="preserve">Proposals are due prior to </w:t>
      </w:r>
      <w:r w:rsidR="00FB128A" w:rsidRPr="00670F68">
        <w:rPr>
          <w:rFonts w:asciiTheme="majorHAnsi" w:hAnsiTheme="majorHAnsi"/>
          <w:b/>
          <w:u w:val="single"/>
        </w:rPr>
        <w:t>4</w:t>
      </w:r>
      <w:r w:rsidRPr="00670F68">
        <w:rPr>
          <w:rFonts w:asciiTheme="majorHAnsi" w:hAnsiTheme="majorHAnsi"/>
          <w:b/>
          <w:u w:val="single"/>
        </w:rPr>
        <w:t xml:space="preserve">:00 </w:t>
      </w:r>
      <w:r w:rsidRPr="00670F68">
        <w:rPr>
          <w:rFonts w:asciiTheme="majorHAnsi" w:hAnsiTheme="majorHAnsi"/>
          <w:b/>
          <w:smallCaps/>
          <w:u w:val="single"/>
        </w:rPr>
        <w:t>p.m</w:t>
      </w:r>
      <w:r w:rsidRPr="00670F68">
        <w:rPr>
          <w:rFonts w:asciiTheme="majorHAnsi" w:hAnsiTheme="majorHAnsi"/>
          <w:b/>
          <w:u w:val="single"/>
        </w:rPr>
        <w:t xml:space="preserve">., </w:t>
      </w:r>
      <w:r w:rsidR="001528D2">
        <w:rPr>
          <w:rFonts w:asciiTheme="majorHAnsi" w:hAnsiTheme="majorHAnsi"/>
          <w:b/>
          <w:sz w:val="20"/>
          <w:szCs w:val="20"/>
          <w:u w:val="single"/>
        </w:rPr>
        <w:t>6/15/2026</w:t>
      </w:r>
      <w:r w:rsidR="00E85D66" w:rsidRPr="00660F9D" w:rsidDel="001E2559">
        <w:rPr>
          <w:rFonts w:asciiTheme="majorHAnsi" w:hAnsiTheme="majorHAnsi"/>
          <w:b/>
          <w:u w:val="single"/>
        </w:rPr>
        <w:t xml:space="preserve"> </w:t>
      </w:r>
      <w:r w:rsidR="00C679A7" w:rsidRPr="00670F68">
        <w:rPr>
          <w:rFonts w:asciiTheme="majorHAnsi" w:hAnsiTheme="majorHAnsi"/>
          <w:b/>
          <w:u w:val="single"/>
        </w:rPr>
        <w:br w:type="page"/>
      </w:r>
    </w:p>
    <w:p w14:paraId="0521B3AC" w14:textId="77777777" w:rsidR="00B72385" w:rsidRPr="00670F68" w:rsidRDefault="00642D96" w:rsidP="00B72385">
      <w:pPr>
        <w:spacing w:after="200" w:line="276" w:lineRule="auto"/>
        <w:jc w:val="center"/>
        <w:rPr>
          <w:rFonts w:asciiTheme="majorHAnsi" w:hAnsiTheme="majorHAnsi"/>
          <w:b/>
        </w:rPr>
      </w:pPr>
      <w:r w:rsidRPr="00670F68">
        <w:rPr>
          <w:rFonts w:asciiTheme="majorHAnsi" w:hAnsiTheme="majorHAnsi"/>
          <w:b/>
        </w:rPr>
        <w:lastRenderedPageBreak/>
        <w:t>TABLE OF CONTENTS</w:t>
      </w:r>
    </w:p>
    <w:p w14:paraId="78F68A8C" w14:textId="77777777" w:rsidR="00B72385" w:rsidRPr="00670F68" w:rsidRDefault="00E80ED0" w:rsidP="00B72385">
      <w:pPr>
        <w:jc w:val="center"/>
        <w:rPr>
          <w:rFonts w:asciiTheme="majorHAnsi" w:hAnsiTheme="majorHAnsi"/>
        </w:rPr>
      </w:pPr>
      <w:r w:rsidRPr="00670F68">
        <w:rPr>
          <w:rFonts w:asciiTheme="majorHAnsi" w:hAnsiTheme="majorHAnsi"/>
        </w:rPr>
        <w:t>Request for Proposals</w:t>
      </w:r>
    </w:p>
    <w:p w14:paraId="252E1E7D" w14:textId="77777777" w:rsidR="00B72385" w:rsidRPr="00CD365C" w:rsidRDefault="00B72385" w:rsidP="00B72385">
      <w:pPr>
        <w:jc w:val="center"/>
        <w:rPr>
          <w:rFonts w:asciiTheme="majorHAnsi" w:hAnsiTheme="majorHAnsi"/>
        </w:rPr>
      </w:pPr>
    </w:p>
    <w:p w14:paraId="235D446B" w14:textId="77777777" w:rsidR="00CD365C" w:rsidRPr="00CD365C" w:rsidRDefault="00CD365C" w:rsidP="00CD365C">
      <w:pPr>
        <w:jc w:val="center"/>
        <w:rPr>
          <w:rFonts w:asciiTheme="majorHAnsi" w:hAnsiTheme="majorHAnsi"/>
          <w:b/>
        </w:rPr>
      </w:pPr>
      <w:bookmarkStart w:id="0" w:name="_Hlk171575995"/>
      <w:r w:rsidRPr="00CD365C">
        <w:rPr>
          <w:rFonts w:asciiTheme="majorHAnsi" w:hAnsiTheme="majorHAnsi"/>
          <w:b/>
        </w:rPr>
        <w:t xml:space="preserve">SS4A Comprehensive Safety Action Plan </w:t>
      </w:r>
    </w:p>
    <w:bookmarkEnd w:id="0"/>
    <w:p w14:paraId="662F14B2" w14:textId="77777777" w:rsidR="00B72385" w:rsidRPr="00670F68" w:rsidRDefault="00B72385" w:rsidP="00670F68">
      <w:pPr>
        <w:jc w:val="center"/>
        <w:rPr>
          <w:rFonts w:asciiTheme="majorHAnsi" w:hAnsiTheme="majorHAnsi"/>
        </w:rPr>
      </w:pPr>
    </w:p>
    <w:p w14:paraId="3739D4EB" w14:textId="77777777" w:rsidR="00B72385" w:rsidRPr="00670F68" w:rsidRDefault="00B72385" w:rsidP="00B72385">
      <w:pPr>
        <w:rPr>
          <w:rFonts w:asciiTheme="majorHAnsi" w:hAnsiTheme="majorHAnsi"/>
        </w:rPr>
      </w:pPr>
    </w:p>
    <w:p w14:paraId="40AA168F" w14:textId="73626DA5" w:rsidR="00B72385" w:rsidRPr="00670F68" w:rsidRDefault="00B72385" w:rsidP="00EF0E3A">
      <w:pPr>
        <w:pStyle w:val="TOC"/>
        <w:rPr>
          <w:sz w:val="24"/>
          <w:szCs w:val="24"/>
        </w:rPr>
      </w:pPr>
      <w:r w:rsidRPr="00670F68">
        <w:rPr>
          <w:sz w:val="24"/>
          <w:szCs w:val="24"/>
        </w:rPr>
        <w:t>Introduction</w:t>
      </w:r>
      <w:r w:rsidRPr="00670F68">
        <w:rPr>
          <w:sz w:val="24"/>
          <w:szCs w:val="24"/>
        </w:rPr>
        <w:tab/>
      </w:r>
      <w:r w:rsidR="00400EA8" w:rsidRPr="00AB3DAC">
        <w:rPr>
          <w:sz w:val="24"/>
          <w:szCs w:val="24"/>
        </w:rPr>
        <w:t>3</w:t>
      </w:r>
    </w:p>
    <w:p w14:paraId="583047F6" w14:textId="77777777" w:rsidR="00B72385" w:rsidRPr="00670F68" w:rsidRDefault="00B72385" w:rsidP="00EF0E3A">
      <w:pPr>
        <w:pStyle w:val="TOC"/>
        <w:rPr>
          <w:sz w:val="24"/>
          <w:szCs w:val="24"/>
        </w:rPr>
      </w:pPr>
    </w:p>
    <w:p w14:paraId="4F45844E" w14:textId="22A5B7EC" w:rsidR="00B72385" w:rsidRPr="00670F68" w:rsidRDefault="001646F8" w:rsidP="00EF0E3A">
      <w:pPr>
        <w:pStyle w:val="TOC"/>
        <w:rPr>
          <w:sz w:val="24"/>
          <w:szCs w:val="24"/>
        </w:rPr>
      </w:pPr>
      <w:r w:rsidRPr="00AB3DAC">
        <w:rPr>
          <w:sz w:val="24"/>
          <w:szCs w:val="24"/>
        </w:rPr>
        <w:t xml:space="preserve">Project Description and </w:t>
      </w:r>
      <w:r w:rsidR="00B72385" w:rsidRPr="00670F68">
        <w:rPr>
          <w:sz w:val="24"/>
          <w:szCs w:val="24"/>
        </w:rPr>
        <w:t>Background</w:t>
      </w:r>
      <w:r w:rsidR="00B72385" w:rsidRPr="00670F68">
        <w:rPr>
          <w:sz w:val="24"/>
          <w:szCs w:val="24"/>
        </w:rPr>
        <w:tab/>
      </w:r>
      <w:r w:rsidR="00400EA8" w:rsidRPr="00AB3DAC">
        <w:rPr>
          <w:sz w:val="24"/>
          <w:szCs w:val="24"/>
        </w:rPr>
        <w:t>5</w:t>
      </w:r>
    </w:p>
    <w:p w14:paraId="38F1794E" w14:textId="77777777" w:rsidR="00B72385" w:rsidRPr="00670F68" w:rsidRDefault="00B72385" w:rsidP="00EF0E3A">
      <w:pPr>
        <w:pStyle w:val="TOC"/>
        <w:rPr>
          <w:sz w:val="24"/>
          <w:szCs w:val="24"/>
        </w:rPr>
      </w:pPr>
    </w:p>
    <w:p w14:paraId="22C77E6E" w14:textId="3414DC1C" w:rsidR="00B72385" w:rsidRPr="00670F68" w:rsidRDefault="00B72385" w:rsidP="00EF0E3A">
      <w:pPr>
        <w:pStyle w:val="TOC"/>
        <w:rPr>
          <w:sz w:val="24"/>
          <w:szCs w:val="24"/>
        </w:rPr>
      </w:pPr>
      <w:r w:rsidRPr="00670F68">
        <w:rPr>
          <w:sz w:val="24"/>
          <w:szCs w:val="24"/>
        </w:rPr>
        <w:t>Scope of Work</w:t>
      </w:r>
      <w:r w:rsidRPr="00670F68">
        <w:rPr>
          <w:sz w:val="24"/>
          <w:szCs w:val="24"/>
        </w:rPr>
        <w:tab/>
      </w:r>
      <w:r w:rsidR="00400EA8" w:rsidRPr="00AB3DAC">
        <w:rPr>
          <w:sz w:val="24"/>
          <w:szCs w:val="24"/>
        </w:rPr>
        <w:t>6</w:t>
      </w:r>
    </w:p>
    <w:p w14:paraId="5A49F450" w14:textId="77777777" w:rsidR="00B72385" w:rsidRPr="00670F68" w:rsidRDefault="00B72385" w:rsidP="00EF0E3A">
      <w:pPr>
        <w:pStyle w:val="TOC"/>
        <w:rPr>
          <w:sz w:val="24"/>
          <w:szCs w:val="24"/>
        </w:rPr>
      </w:pPr>
    </w:p>
    <w:p w14:paraId="3B35D3BF" w14:textId="035097ED" w:rsidR="00B72385" w:rsidRPr="00670F68" w:rsidRDefault="00B72385" w:rsidP="005D2CBA">
      <w:pPr>
        <w:pStyle w:val="TOC"/>
        <w:rPr>
          <w:sz w:val="24"/>
          <w:szCs w:val="24"/>
        </w:rPr>
      </w:pPr>
      <w:r w:rsidRPr="00670F68">
        <w:rPr>
          <w:sz w:val="24"/>
          <w:szCs w:val="24"/>
        </w:rPr>
        <w:t xml:space="preserve">Appendix </w:t>
      </w:r>
      <w:r w:rsidR="00CB5DC1" w:rsidRPr="00670F68">
        <w:rPr>
          <w:sz w:val="24"/>
          <w:szCs w:val="24"/>
        </w:rPr>
        <w:t>A</w:t>
      </w:r>
      <w:r w:rsidRPr="00670F68">
        <w:rPr>
          <w:sz w:val="24"/>
          <w:szCs w:val="24"/>
        </w:rPr>
        <w:t xml:space="preserve"> –</w:t>
      </w:r>
      <w:r w:rsidR="004B5387" w:rsidRPr="00670F68">
        <w:rPr>
          <w:sz w:val="24"/>
          <w:szCs w:val="24"/>
        </w:rPr>
        <w:t xml:space="preserve"> </w:t>
      </w:r>
      <w:r w:rsidRPr="00670F68">
        <w:rPr>
          <w:sz w:val="24"/>
          <w:szCs w:val="24"/>
        </w:rPr>
        <w:t>Proposal Requirements</w:t>
      </w:r>
      <w:r w:rsidR="005D2CBA">
        <w:rPr>
          <w:sz w:val="24"/>
          <w:szCs w:val="24"/>
        </w:rPr>
        <w:t xml:space="preserve"> and </w:t>
      </w:r>
      <w:r w:rsidR="0022729D">
        <w:rPr>
          <w:sz w:val="24"/>
          <w:szCs w:val="24"/>
        </w:rPr>
        <w:t>Evaluation Criteria</w:t>
      </w:r>
      <w:r w:rsidRPr="00670F68">
        <w:rPr>
          <w:sz w:val="24"/>
          <w:szCs w:val="24"/>
        </w:rPr>
        <w:tab/>
      </w:r>
      <w:r w:rsidR="008A468D" w:rsidRPr="00670F68">
        <w:rPr>
          <w:sz w:val="24"/>
          <w:szCs w:val="24"/>
        </w:rPr>
        <w:t>1</w:t>
      </w:r>
      <w:r w:rsidR="009A0732" w:rsidRPr="00AB3DAC">
        <w:rPr>
          <w:sz w:val="24"/>
          <w:szCs w:val="24"/>
        </w:rPr>
        <w:t>2</w:t>
      </w:r>
    </w:p>
    <w:p w14:paraId="1B09209A" w14:textId="77777777" w:rsidR="00AE396D" w:rsidRPr="00670F68" w:rsidRDefault="00AE396D" w:rsidP="00EF0E3A">
      <w:pPr>
        <w:pStyle w:val="TOC"/>
        <w:rPr>
          <w:sz w:val="24"/>
          <w:szCs w:val="24"/>
        </w:rPr>
      </w:pPr>
    </w:p>
    <w:p w14:paraId="48348218" w14:textId="24C2C41D" w:rsidR="00AE396D" w:rsidRPr="00670F68" w:rsidRDefault="00AE396D" w:rsidP="00EF0E3A">
      <w:pPr>
        <w:pStyle w:val="TOC"/>
        <w:rPr>
          <w:sz w:val="24"/>
          <w:szCs w:val="24"/>
        </w:rPr>
      </w:pPr>
      <w:r w:rsidRPr="00670F68">
        <w:rPr>
          <w:sz w:val="24"/>
          <w:szCs w:val="24"/>
        </w:rPr>
        <w:t xml:space="preserve">Appendix </w:t>
      </w:r>
      <w:r w:rsidR="00B625E2">
        <w:rPr>
          <w:sz w:val="24"/>
          <w:szCs w:val="24"/>
        </w:rPr>
        <w:t>B</w:t>
      </w:r>
      <w:r w:rsidRPr="00670F68">
        <w:rPr>
          <w:sz w:val="24"/>
          <w:szCs w:val="24"/>
        </w:rPr>
        <w:t xml:space="preserve"> –</w:t>
      </w:r>
      <w:r w:rsidR="00797E02">
        <w:rPr>
          <w:sz w:val="24"/>
          <w:szCs w:val="24"/>
        </w:rPr>
        <w:t xml:space="preserve"> </w:t>
      </w:r>
      <w:r w:rsidR="00E6291F" w:rsidRPr="00AB3DAC">
        <w:rPr>
          <w:sz w:val="24"/>
          <w:szCs w:val="24"/>
        </w:rPr>
        <w:t>Sample Agreement</w:t>
      </w:r>
      <w:r w:rsidRPr="00670F68">
        <w:rPr>
          <w:sz w:val="24"/>
          <w:szCs w:val="24"/>
        </w:rPr>
        <w:tab/>
      </w:r>
      <w:r w:rsidR="00FD4B9D">
        <w:rPr>
          <w:sz w:val="24"/>
          <w:szCs w:val="24"/>
        </w:rPr>
        <w:t>16</w:t>
      </w:r>
    </w:p>
    <w:p w14:paraId="216FBDDE" w14:textId="77777777" w:rsidR="004B5387" w:rsidRPr="00670F68" w:rsidRDefault="004B5387" w:rsidP="00EF0E3A">
      <w:pPr>
        <w:pStyle w:val="TOC"/>
        <w:rPr>
          <w:sz w:val="24"/>
          <w:szCs w:val="24"/>
        </w:rPr>
      </w:pPr>
    </w:p>
    <w:p w14:paraId="55F375E4" w14:textId="77777777" w:rsidR="00B72385" w:rsidRPr="00670F68" w:rsidRDefault="00B72385" w:rsidP="00B72385">
      <w:pPr>
        <w:tabs>
          <w:tab w:val="right" w:leader="dot" w:pos="8280"/>
        </w:tabs>
        <w:ind w:left="720"/>
        <w:rPr>
          <w:rFonts w:asciiTheme="majorHAnsi" w:hAnsiTheme="majorHAnsi"/>
        </w:rPr>
      </w:pPr>
    </w:p>
    <w:p w14:paraId="77FE7F5F" w14:textId="77777777" w:rsidR="00B72385" w:rsidRPr="00670F68" w:rsidRDefault="00B72385" w:rsidP="00B72385">
      <w:pPr>
        <w:tabs>
          <w:tab w:val="right" w:leader="dot" w:pos="8280"/>
        </w:tabs>
        <w:ind w:left="720"/>
        <w:rPr>
          <w:rFonts w:asciiTheme="majorHAnsi" w:hAnsiTheme="majorHAnsi"/>
        </w:rPr>
      </w:pPr>
    </w:p>
    <w:p w14:paraId="79694DA7" w14:textId="77777777" w:rsidR="00B72385" w:rsidRPr="00670F68" w:rsidRDefault="00B72385" w:rsidP="00B72385">
      <w:pPr>
        <w:tabs>
          <w:tab w:val="right" w:leader="dot" w:pos="8280"/>
        </w:tabs>
        <w:ind w:left="720"/>
        <w:rPr>
          <w:rFonts w:asciiTheme="majorHAnsi" w:hAnsiTheme="majorHAnsi"/>
        </w:rPr>
      </w:pPr>
    </w:p>
    <w:p w14:paraId="57D50078" w14:textId="77777777" w:rsidR="00B72385" w:rsidRPr="00670F68" w:rsidRDefault="00B72385">
      <w:pPr>
        <w:rPr>
          <w:rFonts w:asciiTheme="majorHAnsi" w:hAnsiTheme="majorHAnsi"/>
        </w:rPr>
      </w:pPr>
    </w:p>
    <w:p w14:paraId="217FDEBA" w14:textId="77777777" w:rsidR="00B1472B" w:rsidRPr="00670F68" w:rsidRDefault="00B1472B">
      <w:pPr>
        <w:spacing w:after="200" w:line="276" w:lineRule="auto"/>
        <w:rPr>
          <w:rFonts w:asciiTheme="majorHAnsi" w:hAnsiTheme="majorHAnsi"/>
        </w:rPr>
        <w:sectPr w:rsidR="00B1472B" w:rsidRPr="00670F68" w:rsidSect="00B1472B">
          <w:footerReference w:type="default" r:id="rId9"/>
          <w:footerReference w:type="first" r:id="rId10"/>
          <w:type w:val="continuous"/>
          <w:pgSz w:w="12240" w:h="15840"/>
          <w:pgMar w:top="1440" w:right="1440" w:bottom="1440" w:left="1440" w:header="720" w:footer="720" w:gutter="0"/>
          <w:cols w:space="720"/>
          <w:docGrid w:linePitch="360"/>
        </w:sectPr>
      </w:pPr>
    </w:p>
    <w:p w14:paraId="419044F6" w14:textId="132B7CEB" w:rsidR="00B72385" w:rsidRPr="00670F68" w:rsidRDefault="00B72385" w:rsidP="00B1472B">
      <w:pPr>
        <w:spacing w:after="200" w:line="276" w:lineRule="auto"/>
        <w:jc w:val="center"/>
        <w:rPr>
          <w:rFonts w:asciiTheme="majorHAnsi" w:hAnsiTheme="majorHAnsi"/>
          <w:b/>
        </w:rPr>
      </w:pPr>
      <w:r w:rsidRPr="00670F68">
        <w:rPr>
          <w:rFonts w:asciiTheme="majorHAnsi" w:hAnsiTheme="majorHAnsi"/>
          <w:b/>
        </w:rPr>
        <w:lastRenderedPageBreak/>
        <w:t>INTRODUCTION</w:t>
      </w:r>
      <w:r w:rsidR="00141C0E">
        <w:rPr>
          <w:rFonts w:asciiTheme="majorHAnsi" w:hAnsiTheme="majorHAnsi"/>
          <w:b/>
        </w:rPr>
        <w:t xml:space="preserve"> &amp; GENERAL INSTRUCTIONS</w:t>
      </w:r>
    </w:p>
    <w:p w14:paraId="4BBDFA4C" w14:textId="794048AC" w:rsidR="00CD365C" w:rsidRDefault="00411B9B" w:rsidP="00F044E2">
      <w:pPr>
        <w:tabs>
          <w:tab w:val="right" w:leader="dot" w:pos="9000"/>
        </w:tabs>
        <w:rPr>
          <w:rFonts w:asciiTheme="majorHAnsi" w:hAnsiTheme="majorHAnsi"/>
        </w:rPr>
      </w:pPr>
      <w:r w:rsidRPr="00670F68">
        <w:rPr>
          <w:rFonts w:asciiTheme="majorHAnsi" w:hAnsiTheme="majorHAnsi"/>
        </w:rPr>
        <w:t>The</w:t>
      </w:r>
      <w:r w:rsidR="00971490" w:rsidRPr="00AB3DAC">
        <w:rPr>
          <w:rFonts w:asciiTheme="majorHAnsi" w:hAnsiTheme="majorHAnsi"/>
        </w:rPr>
        <w:t xml:space="preserve"> Tehama</w:t>
      </w:r>
      <w:r w:rsidR="00CD365C">
        <w:rPr>
          <w:rFonts w:asciiTheme="majorHAnsi" w:hAnsiTheme="majorHAnsi"/>
        </w:rPr>
        <w:t xml:space="preserve"> County Transportation Commission </w:t>
      </w:r>
      <w:r w:rsidRPr="00670F68">
        <w:rPr>
          <w:rFonts w:asciiTheme="majorHAnsi" w:hAnsiTheme="majorHAnsi"/>
        </w:rPr>
        <w:t>is requesting proposals</w:t>
      </w:r>
      <w:r w:rsidR="00EF564C" w:rsidRPr="00670F68">
        <w:rPr>
          <w:rFonts w:asciiTheme="majorHAnsi" w:hAnsiTheme="majorHAnsi"/>
        </w:rPr>
        <w:t xml:space="preserve"> </w:t>
      </w:r>
      <w:r w:rsidR="00CD365C" w:rsidRPr="00CD365C">
        <w:rPr>
          <w:rFonts w:asciiTheme="majorHAnsi" w:hAnsiTheme="majorHAnsi"/>
        </w:rPr>
        <w:t xml:space="preserve">interested and qualified planning and consulting engineering firms to conduct a SS4A (Safe Street and Roads for All) Comprehensive Safety Action Plan </w:t>
      </w:r>
      <w:r w:rsidR="00CD365C">
        <w:rPr>
          <w:rFonts w:asciiTheme="majorHAnsi" w:hAnsiTheme="majorHAnsi"/>
        </w:rPr>
        <w:t xml:space="preserve">(Plan) </w:t>
      </w:r>
      <w:r w:rsidR="00CD365C" w:rsidRPr="00CD365C">
        <w:rPr>
          <w:rFonts w:asciiTheme="majorHAnsi" w:hAnsiTheme="majorHAnsi"/>
        </w:rPr>
        <w:t xml:space="preserve">relating to traffic and mobility, commonly referred to as a “Vision Zero” initiative, as described in this Request for Proposals (“RFP”). </w:t>
      </w:r>
    </w:p>
    <w:p w14:paraId="4C173C0D" w14:textId="77777777" w:rsidR="00CD365C" w:rsidRDefault="00CD365C" w:rsidP="00F044E2">
      <w:pPr>
        <w:tabs>
          <w:tab w:val="right" w:leader="dot" w:pos="9000"/>
        </w:tabs>
        <w:rPr>
          <w:rFonts w:asciiTheme="majorHAnsi" w:hAnsiTheme="majorHAnsi"/>
        </w:rPr>
      </w:pPr>
    </w:p>
    <w:p w14:paraId="503F4D72" w14:textId="43872883" w:rsidR="0008406B" w:rsidRDefault="006D731D" w:rsidP="00F044E2">
      <w:pPr>
        <w:tabs>
          <w:tab w:val="right" w:leader="dot" w:pos="9000"/>
        </w:tabs>
        <w:rPr>
          <w:rFonts w:asciiTheme="majorHAnsi" w:hAnsiTheme="majorHAnsi"/>
        </w:rPr>
      </w:pPr>
      <w:r w:rsidRPr="00CD365C">
        <w:rPr>
          <w:rFonts w:asciiTheme="majorHAnsi" w:hAnsiTheme="majorHAnsi"/>
        </w:rPr>
        <w:t>The</w:t>
      </w:r>
      <w:r w:rsidR="00BB4C06" w:rsidRPr="00CD365C">
        <w:rPr>
          <w:rFonts w:asciiTheme="majorHAnsi" w:hAnsiTheme="majorHAnsi"/>
        </w:rPr>
        <w:t xml:space="preserve"> </w:t>
      </w:r>
      <w:r w:rsidR="00CD365C" w:rsidRPr="00CD365C">
        <w:rPr>
          <w:rFonts w:asciiTheme="majorHAnsi" w:hAnsiTheme="majorHAnsi"/>
        </w:rPr>
        <w:t>Plan</w:t>
      </w:r>
      <w:r w:rsidR="00E85D66" w:rsidRPr="00CD365C">
        <w:rPr>
          <w:rFonts w:asciiTheme="majorHAnsi" w:hAnsiTheme="majorHAnsi"/>
        </w:rPr>
        <w:t xml:space="preserve"> </w:t>
      </w:r>
      <w:r w:rsidRPr="00CD365C">
        <w:rPr>
          <w:rFonts w:asciiTheme="majorHAnsi" w:hAnsiTheme="majorHAnsi"/>
        </w:rPr>
        <w:t xml:space="preserve">will be funded with </w:t>
      </w:r>
      <w:r w:rsidR="00E85D66" w:rsidRPr="00CD365C">
        <w:rPr>
          <w:rFonts w:asciiTheme="majorHAnsi" w:hAnsiTheme="majorHAnsi"/>
        </w:rPr>
        <w:t>Local</w:t>
      </w:r>
      <w:r w:rsidR="00CD365C" w:rsidRPr="00CD365C">
        <w:rPr>
          <w:rFonts w:asciiTheme="majorHAnsi" w:hAnsiTheme="majorHAnsi"/>
        </w:rPr>
        <w:t xml:space="preserve"> and </w:t>
      </w:r>
      <w:r w:rsidR="00E85D66" w:rsidRPr="00CD365C">
        <w:rPr>
          <w:rFonts w:asciiTheme="majorHAnsi" w:hAnsiTheme="majorHAnsi"/>
        </w:rPr>
        <w:t xml:space="preserve">Federal </w:t>
      </w:r>
      <w:r w:rsidRPr="00CD365C">
        <w:rPr>
          <w:rFonts w:asciiTheme="majorHAnsi" w:hAnsiTheme="majorHAnsi"/>
        </w:rPr>
        <w:t xml:space="preserve">dollars requiring the </w:t>
      </w:r>
      <w:r w:rsidR="002362FB" w:rsidRPr="00CD365C">
        <w:rPr>
          <w:rFonts w:asciiTheme="majorHAnsi" w:hAnsiTheme="majorHAnsi"/>
        </w:rPr>
        <w:t xml:space="preserve">successful </w:t>
      </w:r>
      <w:r w:rsidR="007D1B80">
        <w:rPr>
          <w:rFonts w:asciiTheme="majorHAnsi" w:hAnsiTheme="majorHAnsi"/>
        </w:rPr>
        <w:t>Proposer</w:t>
      </w:r>
      <w:r w:rsidRPr="00CD365C">
        <w:rPr>
          <w:rFonts w:asciiTheme="majorHAnsi" w:hAnsiTheme="majorHAnsi"/>
        </w:rPr>
        <w:t xml:space="preserve"> to follow all pertinent local, State, and Federal laws and regulations.</w:t>
      </w:r>
      <w:r w:rsidR="004D711A" w:rsidRPr="00670F68">
        <w:rPr>
          <w:rFonts w:asciiTheme="majorHAnsi" w:hAnsiTheme="majorHAnsi"/>
        </w:rPr>
        <w:t xml:space="preserve"> </w:t>
      </w:r>
    </w:p>
    <w:p w14:paraId="1AB16C9C" w14:textId="77777777" w:rsidR="0008406B" w:rsidRDefault="0008406B" w:rsidP="00F044E2">
      <w:pPr>
        <w:tabs>
          <w:tab w:val="right" w:leader="dot" w:pos="9000"/>
        </w:tabs>
        <w:rPr>
          <w:rFonts w:asciiTheme="majorHAnsi" w:hAnsiTheme="majorHAnsi"/>
        </w:rPr>
      </w:pPr>
    </w:p>
    <w:p w14:paraId="6BD98912" w14:textId="45807D21" w:rsidR="006D731D" w:rsidRPr="00670F68" w:rsidRDefault="0008406B" w:rsidP="00F044E2">
      <w:pPr>
        <w:tabs>
          <w:tab w:val="right" w:leader="dot" w:pos="9000"/>
        </w:tabs>
        <w:rPr>
          <w:rFonts w:asciiTheme="majorHAnsi" w:hAnsiTheme="majorHAnsi"/>
          <w:bCs/>
        </w:rPr>
      </w:pPr>
      <w:r w:rsidRPr="00E55148">
        <w:rPr>
          <w:rFonts w:asciiTheme="majorHAnsi" w:hAnsiTheme="majorHAnsi"/>
          <w:bCs/>
        </w:rPr>
        <w:t xml:space="preserve">The performance period of the </w:t>
      </w:r>
      <w:r w:rsidR="00E55148" w:rsidRPr="00E55148">
        <w:rPr>
          <w:rFonts w:asciiTheme="majorHAnsi" w:hAnsiTheme="majorHAnsi"/>
          <w:bCs/>
        </w:rPr>
        <w:t xml:space="preserve">contract shall initiate </w:t>
      </w:r>
      <w:r w:rsidR="00E55148">
        <w:rPr>
          <w:rFonts w:asciiTheme="majorHAnsi" w:hAnsiTheme="majorHAnsi"/>
          <w:bCs/>
        </w:rPr>
        <w:t>from</w:t>
      </w:r>
      <w:r w:rsidR="00E55148" w:rsidRPr="00E55148">
        <w:rPr>
          <w:rFonts w:asciiTheme="majorHAnsi" w:hAnsiTheme="majorHAnsi"/>
          <w:bCs/>
        </w:rPr>
        <w:t xml:space="preserve"> the date approved by the </w:t>
      </w:r>
      <w:r w:rsidR="00CD365C">
        <w:rPr>
          <w:rFonts w:asciiTheme="majorHAnsi" w:hAnsiTheme="majorHAnsi"/>
          <w:bCs/>
        </w:rPr>
        <w:t>Transportation Commission</w:t>
      </w:r>
      <w:r w:rsidR="003966C5">
        <w:rPr>
          <w:rFonts w:asciiTheme="majorHAnsi" w:hAnsiTheme="majorHAnsi"/>
          <w:bCs/>
        </w:rPr>
        <w:t>.</w:t>
      </w:r>
    </w:p>
    <w:p w14:paraId="136C792B" w14:textId="77777777" w:rsidR="0087635A" w:rsidRPr="00670F68" w:rsidRDefault="0087635A" w:rsidP="00F044E2">
      <w:pPr>
        <w:tabs>
          <w:tab w:val="right" w:leader="dot" w:pos="9000"/>
        </w:tabs>
        <w:rPr>
          <w:rFonts w:asciiTheme="majorHAnsi" w:hAnsiTheme="majorHAnsi"/>
        </w:rPr>
      </w:pPr>
    </w:p>
    <w:p w14:paraId="29A8C9F2" w14:textId="6ECFDCC9" w:rsidR="00B72385" w:rsidRPr="00670F68" w:rsidRDefault="00B755DE" w:rsidP="002A23F9">
      <w:pPr>
        <w:rPr>
          <w:rFonts w:asciiTheme="majorHAnsi" w:hAnsiTheme="majorHAnsi"/>
        </w:rPr>
      </w:pPr>
      <w:r w:rsidRPr="00F631C2">
        <w:rPr>
          <w:rFonts w:asciiTheme="majorHAnsi" w:hAnsiTheme="majorHAnsi"/>
        </w:rPr>
        <w:t xml:space="preserve">The </w:t>
      </w:r>
      <w:r w:rsidR="007D1B80">
        <w:rPr>
          <w:rFonts w:asciiTheme="majorHAnsi" w:hAnsiTheme="majorHAnsi"/>
        </w:rPr>
        <w:t>Proposer</w:t>
      </w:r>
      <w:r w:rsidRPr="00F631C2">
        <w:rPr>
          <w:rFonts w:asciiTheme="majorHAnsi" w:hAnsiTheme="majorHAnsi"/>
        </w:rPr>
        <w:t>’s attention is directed to Appendix A, “Proposal Requirements</w:t>
      </w:r>
      <w:r w:rsidR="002A23F9">
        <w:rPr>
          <w:rFonts w:asciiTheme="majorHAnsi" w:hAnsiTheme="majorHAnsi"/>
        </w:rPr>
        <w:t xml:space="preserve"> and Evaluation Criteria</w:t>
      </w:r>
      <w:r w:rsidRPr="00F631C2">
        <w:rPr>
          <w:rFonts w:asciiTheme="majorHAnsi" w:hAnsiTheme="majorHAnsi"/>
        </w:rPr>
        <w:t>.”</w:t>
      </w:r>
      <w:r w:rsidR="002A23F9">
        <w:rPr>
          <w:rFonts w:asciiTheme="majorHAnsi" w:hAnsiTheme="majorHAnsi"/>
        </w:rPr>
        <w:t xml:space="preserve"> </w:t>
      </w:r>
      <w:r w:rsidR="00B72385" w:rsidRPr="00670F68">
        <w:rPr>
          <w:rFonts w:asciiTheme="majorHAnsi" w:hAnsiTheme="majorHAnsi"/>
        </w:rPr>
        <w:t xml:space="preserve">The proposals submitted in response to this </w:t>
      </w:r>
      <w:r w:rsidR="00E80ED0" w:rsidRPr="00670F68">
        <w:rPr>
          <w:rFonts w:asciiTheme="majorHAnsi" w:hAnsiTheme="majorHAnsi"/>
        </w:rPr>
        <w:t>RFP</w:t>
      </w:r>
      <w:r w:rsidR="000D09B0" w:rsidRPr="00670F68">
        <w:rPr>
          <w:rFonts w:asciiTheme="majorHAnsi" w:hAnsiTheme="majorHAnsi"/>
        </w:rPr>
        <w:t xml:space="preserve"> </w:t>
      </w:r>
      <w:r w:rsidR="00B72385" w:rsidRPr="00670F68">
        <w:rPr>
          <w:rFonts w:asciiTheme="majorHAnsi" w:hAnsiTheme="majorHAnsi"/>
        </w:rPr>
        <w:t xml:space="preserve">will be used as a basis for selecting the </w:t>
      </w:r>
      <w:r w:rsidR="007D1B80">
        <w:rPr>
          <w:rFonts w:asciiTheme="majorHAnsi" w:hAnsiTheme="majorHAnsi"/>
        </w:rPr>
        <w:t>PROPOSER</w:t>
      </w:r>
      <w:r w:rsidR="00411B9B" w:rsidRPr="00670F68">
        <w:rPr>
          <w:rFonts w:asciiTheme="majorHAnsi" w:hAnsiTheme="majorHAnsi"/>
        </w:rPr>
        <w:t xml:space="preserve"> </w:t>
      </w:r>
      <w:r w:rsidR="00B72385" w:rsidRPr="00670F68">
        <w:rPr>
          <w:rFonts w:asciiTheme="majorHAnsi" w:hAnsiTheme="majorHAnsi"/>
        </w:rPr>
        <w:t xml:space="preserve">for this project.   </w:t>
      </w:r>
      <w:r w:rsidR="007D1B80">
        <w:rPr>
          <w:rFonts w:asciiTheme="majorHAnsi" w:hAnsiTheme="majorHAnsi"/>
        </w:rPr>
        <w:t>PROPOSER</w:t>
      </w:r>
      <w:r w:rsidR="00BF423C" w:rsidRPr="00670F68">
        <w:rPr>
          <w:rFonts w:asciiTheme="majorHAnsi" w:hAnsiTheme="majorHAnsi"/>
        </w:rPr>
        <w:t>’s</w:t>
      </w:r>
      <w:r w:rsidR="00411B9B" w:rsidRPr="00670F68">
        <w:rPr>
          <w:rFonts w:asciiTheme="majorHAnsi" w:hAnsiTheme="majorHAnsi"/>
        </w:rPr>
        <w:t xml:space="preserve"> </w:t>
      </w:r>
      <w:r w:rsidR="00B72385" w:rsidRPr="00670F68">
        <w:rPr>
          <w:rFonts w:asciiTheme="majorHAnsi" w:hAnsiTheme="majorHAnsi"/>
        </w:rPr>
        <w:t xml:space="preserve">proposal will be evaluated and ranked according to the criteria provided in Appendix </w:t>
      </w:r>
      <w:r w:rsidR="002A23F9">
        <w:rPr>
          <w:rFonts w:asciiTheme="majorHAnsi" w:hAnsiTheme="majorHAnsi"/>
        </w:rPr>
        <w:t xml:space="preserve">A </w:t>
      </w:r>
      <w:r w:rsidR="00B72385" w:rsidRPr="00670F68">
        <w:rPr>
          <w:rFonts w:asciiTheme="majorHAnsi" w:hAnsiTheme="majorHAnsi"/>
        </w:rPr>
        <w:t xml:space="preserve">of this </w:t>
      </w:r>
      <w:r w:rsidR="00E80ED0" w:rsidRPr="00670F68">
        <w:rPr>
          <w:rFonts w:asciiTheme="majorHAnsi" w:hAnsiTheme="majorHAnsi"/>
        </w:rPr>
        <w:t>RFP</w:t>
      </w:r>
      <w:r w:rsidR="00B72385" w:rsidRPr="00670F68">
        <w:rPr>
          <w:rFonts w:asciiTheme="majorHAnsi" w:hAnsiTheme="majorHAnsi"/>
        </w:rPr>
        <w:t xml:space="preserve">. </w:t>
      </w:r>
    </w:p>
    <w:p w14:paraId="4B581F3B" w14:textId="77777777" w:rsidR="00B72385" w:rsidRPr="00670F68" w:rsidRDefault="00B72385" w:rsidP="00F044E2">
      <w:pPr>
        <w:tabs>
          <w:tab w:val="right" w:leader="dot" w:pos="9000"/>
        </w:tabs>
        <w:rPr>
          <w:rFonts w:asciiTheme="majorHAnsi" w:hAnsiTheme="majorHAnsi"/>
        </w:rPr>
      </w:pPr>
    </w:p>
    <w:p w14:paraId="0EB2FDDE" w14:textId="13996BA3" w:rsidR="00876CBE" w:rsidRPr="00670F68" w:rsidRDefault="00876CBE" w:rsidP="00F044E2">
      <w:pPr>
        <w:tabs>
          <w:tab w:val="right" w:leader="dot" w:pos="9000"/>
        </w:tabs>
        <w:rPr>
          <w:rFonts w:asciiTheme="majorHAnsi" w:hAnsiTheme="majorHAnsi"/>
        </w:rPr>
      </w:pPr>
      <w:r w:rsidRPr="00670F68">
        <w:rPr>
          <w:rFonts w:asciiTheme="majorHAnsi" w:hAnsiTheme="majorHAnsi"/>
        </w:rPr>
        <w:t xml:space="preserve">Addenda to this </w:t>
      </w:r>
      <w:r w:rsidR="00E80ED0" w:rsidRPr="00670F68">
        <w:rPr>
          <w:rFonts w:asciiTheme="majorHAnsi" w:hAnsiTheme="majorHAnsi"/>
        </w:rPr>
        <w:t>RFP</w:t>
      </w:r>
      <w:r w:rsidRPr="00670F68">
        <w:rPr>
          <w:rFonts w:asciiTheme="majorHAnsi" w:hAnsiTheme="majorHAnsi"/>
        </w:rPr>
        <w:t xml:space="preserve">, if issued, will be sent to all </w:t>
      </w:r>
      <w:r w:rsidR="007D1B80">
        <w:rPr>
          <w:rFonts w:asciiTheme="majorHAnsi" w:hAnsiTheme="majorHAnsi"/>
        </w:rPr>
        <w:t>Proposer</w:t>
      </w:r>
      <w:r w:rsidR="00FB5811" w:rsidRPr="00CD365C">
        <w:rPr>
          <w:rFonts w:asciiTheme="majorHAnsi" w:hAnsiTheme="majorHAnsi"/>
        </w:rPr>
        <w:t xml:space="preserve">s </w:t>
      </w:r>
      <w:r w:rsidR="00017485" w:rsidRPr="00CD365C">
        <w:rPr>
          <w:rFonts w:asciiTheme="majorHAnsi" w:hAnsiTheme="majorHAnsi"/>
        </w:rPr>
        <w:t xml:space="preserve">that </w:t>
      </w:r>
      <w:r w:rsidR="00CD365C" w:rsidRPr="00CD365C">
        <w:rPr>
          <w:rFonts w:asciiTheme="majorHAnsi" w:hAnsiTheme="majorHAnsi"/>
        </w:rPr>
        <w:t>Commission</w:t>
      </w:r>
      <w:r w:rsidR="004A5A51" w:rsidRPr="00CD365C">
        <w:rPr>
          <w:rFonts w:asciiTheme="majorHAnsi" w:hAnsiTheme="majorHAnsi"/>
        </w:rPr>
        <w:t xml:space="preserve"> </w:t>
      </w:r>
      <w:r w:rsidR="00971490" w:rsidRPr="00CD365C">
        <w:rPr>
          <w:rFonts w:asciiTheme="majorHAnsi" w:hAnsiTheme="majorHAnsi"/>
        </w:rPr>
        <w:t xml:space="preserve">staff </w:t>
      </w:r>
      <w:r w:rsidR="007D7269" w:rsidRPr="00CD365C">
        <w:rPr>
          <w:rFonts w:asciiTheme="majorHAnsi" w:hAnsiTheme="majorHAnsi"/>
        </w:rPr>
        <w:t>has</w:t>
      </w:r>
      <w:r w:rsidR="00196674" w:rsidRPr="00670F68">
        <w:rPr>
          <w:rFonts w:asciiTheme="majorHAnsi" w:hAnsiTheme="majorHAnsi"/>
        </w:rPr>
        <w:t xml:space="preserve"> specifically </w:t>
      </w:r>
      <w:r w:rsidR="00E55148">
        <w:rPr>
          <w:rFonts w:asciiTheme="majorHAnsi" w:hAnsiTheme="majorHAnsi"/>
        </w:rPr>
        <w:t>received written questions regarding the RFP and</w:t>
      </w:r>
      <w:r w:rsidRPr="00670F68">
        <w:rPr>
          <w:rFonts w:asciiTheme="majorHAnsi" w:hAnsiTheme="majorHAnsi"/>
        </w:rPr>
        <w:t xml:space="preserve"> will be posted on the</w:t>
      </w:r>
      <w:r w:rsidR="002A23F9">
        <w:rPr>
          <w:rFonts w:asciiTheme="majorHAnsi" w:hAnsiTheme="majorHAnsi"/>
        </w:rPr>
        <w:t xml:space="preserve"> </w:t>
      </w:r>
      <w:hyperlink r:id="rId11" w:history="1">
        <w:r w:rsidR="002A23F9" w:rsidRPr="00637C2D">
          <w:rPr>
            <w:rStyle w:val="Hyperlink"/>
            <w:rFonts w:asciiTheme="majorHAnsi" w:hAnsiTheme="majorHAnsi"/>
          </w:rPr>
          <w:t>www.tehamartpa.org</w:t>
        </w:r>
      </w:hyperlink>
      <w:r w:rsidR="002A23F9">
        <w:rPr>
          <w:rFonts w:asciiTheme="majorHAnsi" w:hAnsiTheme="majorHAnsi"/>
        </w:rPr>
        <w:t xml:space="preserve"> </w:t>
      </w:r>
      <w:r w:rsidR="00CD365C">
        <w:rPr>
          <w:rFonts w:asciiTheme="majorHAnsi" w:hAnsiTheme="majorHAnsi"/>
        </w:rPr>
        <w:t xml:space="preserve"> </w:t>
      </w:r>
      <w:r w:rsidR="00AB70D0" w:rsidRPr="00AB3DAC">
        <w:rPr>
          <w:rFonts w:asciiTheme="majorHAnsi" w:hAnsiTheme="majorHAnsi"/>
        </w:rPr>
        <w:t xml:space="preserve">website </w:t>
      </w:r>
      <w:r w:rsidR="005F5A5A" w:rsidRPr="00670F68">
        <w:rPr>
          <w:rFonts w:asciiTheme="majorHAnsi" w:hAnsiTheme="majorHAnsi"/>
        </w:rPr>
        <w:t xml:space="preserve">and </w:t>
      </w:r>
      <w:hyperlink r:id="rId12" w:history="1">
        <w:r w:rsidR="00906EBB" w:rsidRPr="00CC5E15">
          <w:rPr>
            <w:rStyle w:val="Hyperlink"/>
            <w:rFonts w:asciiTheme="majorHAnsi" w:hAnsiTheme="majorHAnsi"/>
          </w:rPr>
          <w:t>https://tcpw.ca.gov/</w:t>
        </w:r>
      </w:hyperlink>
      <w:r w:rsidR="00906EBB">
        <w:rPr>
          <w:rFonts w:asciiTheme="majorHAnsi" w:hAnsiTheme="majorHAnsi"/>
        </w:rPr>
        <w:t xml:space="preserve"> </w:t>
      </w:r>
      <w:r w:rsidR="00AB70D0" w:rsidRPr="00AB3DAC">
        <w:rPr>
          <w:rFonts w:asciiTheme="majorHAnsi" w:hAnsiTheme="majorHAnsi"/>
        </w:rPr>
        <w:t>website</w:t>
      </w:r>
      <w:r w:rsidR="00FD4F83">
        <w:rPr>
          <w:rFonts w:asciiTheme="majorHAnsi" w:hAnsiTheme="majorHAnsi"/>
        </w:rPr>
        <w:t>, along with Public Purchase</w:t>
      </w:r>
      <w:r w:rsidR="00AB70D0" w:rsidRPr="00AB3DAC">
        <w:rPr>
          <w:rFonts w:asciiTheme="majorHAnsi" w:hAnsiTheme="majorHAnsi"/>
        </w:rPr>
        <w:t>.</w:t>
      </w:r>
    </w:p>
    <w:p w14:paraId="03C1E28D" w14:textId="77777777" w:rsidR="00876CBE" w:rsidRPr="00670F68" w:rsidRDefault="00876CBE" w:rsidP="00F044E2">
      <w:pPr>
        <w:tabs>
          <w:tab w:val="right" w:leader="dot" w:pos="9000"/>
        </w:tabs>
        <w:rPr>
          <w:rFonts w:asciiTheme="majorHAnsi" w:hAnsiTheme="majorHAnsi"/>
        </w:rPr>
      </w:pPr>
    </w:p>
    <w:p w14:paraId="6520F5D5" w14:textId="31D9B209" w:rsidR="00876CBE" w:rsidRPr="00670F68" w:rsidRDefault="00876CBE" w:rsidP="00F044E2">
      <w:pPr>
        <w:tabs>
          <w:tab w:val="right" w:leader="dot" w:pos="9000"/>
        </w:tabs>
        <w:rPr>
          <w:rFonts w:asciiTheme="majorHAnsi" w:hAnsiTheme="majorHAnsi"/>
        </w:rPr>
      </w:pPr>
      <w:r w:rsidRPr="00670F68">
        <w:rPr>
          <w:rFonts w:asciiTheme="majorHAnsi" w:hAnsiTheme="majorHAnsi"/>
        </w:rPr>
        <w:t xml:space="preserve">It shall be the </w:t>
      </w:r>
      <w:r w:rsidR="007D1B80">
        <w:rPr>
          <w:rFonts w:asciiTheme="majorHAnsi" w:hAnsiTheme="majorHAnsi"/>
        </w:rPr>
        <w:t>Proposer</w:t>
      </w:r>
      <w:r w:rsidR="00BF423C" w:rsidRPr="00670F68">
        <w:rPr>
          <w:rFonts w:asciiTheme="majorHAnsi" w:hAnsiTheme="majorHAnsi"/>
        </w:rPr>
        <w:t>’s</w:t>
      </w:r>
      <w:r w:rsidRPr="00670F68">
        <w:rPr>
          <w:rFonts w:asciiTheme="majorHAnsi" w:hAnsiTheme="majorHAnsi"/>
        </w:rPr>
        <w:t xml:space="preserve"> </w:t>
      </w:r>
      <w:r w:rsidRPr="00007099">
        <w:rPr>
          <w:rFonts w:asciiTheme="majorHAnsi" w:hAnsiTheme="majorHAnsi"/>
        </w:rPr>
        <w:t xml:space="preserve">responsibility </w:t>
      </w:r>
      <w:r w:rsidR="00155C30" w:rsidRPr="00007099">
        <w:rPr>
          <w:rFonts w:asciiTheme="majorHAnsi" w:hAnsiTheme="majorHAnsi"/>
        </w:rPr>
        <w:t xml:space="preserve">to </w:t>
      </w:r>
      <w:r w:rsidR="00426C3D" w:rsidRPr="00007099">
        <w:rPr>
          <w:rFonts w:asciiTheme="majorHAnsi" w:hAnsiTheme="majorHAnsi"/>
        </w:rPr>
        <w:t>check</w:t>
      </w:r>
      <w:r w:rsidR="00007099" w:rsidRPr="00007099">
        <w:rPr>
          <w:rFonts w:asciiTheme="majorHAnsi" w:hAnsiTheme="majorHAnsi"/>
        </w:rPr>
        <w:t xml:space="preserve"> the</w:t>
      </w:r>
      <w:r w:rsidR="00426C3D" w:rsidRPr="00007099">
        <w:rPr>
          <w:rFonts w:asciiTheme="majorHAnsi" w:hAnsiTheme="majorHAnsi"/>
        </w:rPr>
        <w:t xml:space="preserve"> </w:t>
      </w:r>
      <w:r w:rsidR="00CD365C" w:rsidRPr="00007099">
        <w:rPr>
          <w:rFonts w:asciiTheme="majorHAnsi" w:hAnsiTheme="majorHAnsi"/>
        </w:rPr>
        <w:t>Commission</w:t>
      </w:r>
      <w:r w:rsidR="00026DF5" w:rsidRPr="00007099">
        <w:rPr>
          <w:rFonts w:asciiTheme="majorHAnsi" w:hAnsiTheme="majorHAnsi"/>
        </w:rPr>
        <w:t xml:space="preserve"> </w:t>
      </w:r>
      <w:r w:rsidR="007D7269" w:rsidRPr="00007099">
        <w:rPr>
          <w:rFonts w:asciiTheme="majorHAnsi" w:hAnsiTheme="majorHAnsi"/>
        </w:rPr>
        <w:t>website</w:t>
      </w:r>
      <w:r w:rsidR="007D7269" w:rsidRPr="00670F68">
        <w:rPr>
          <w:rFonts w:asciiTheme="majorHAnsi" w:hAnsiTheme="majorHAnsi"/>
        </w:rPr>
        <w:t xml:space="preserve"> to obtain any </w:t>
      </w:r>
      <w:r w:rsidRPr="00670F68">
        <w:rPr>
          <w:rFonts w:asciiTheme="majorHAnsi" w:hAnsiTheme="majorHAnsi"/>
        </w:rPr>
        <w:t>addenda that may be issued</w:t>
      </w:r>
      <w:r w:rsidR="00CD365C">
        <w:rPr>
          <w:rFonts w:asciiTheme="majorHAnsi" w:hAnsiTheme="majorHAnsi"/>
        </w:rPr>
        <w:t xml:space="preserve"> prior to submitting a proposal</w:t>
      </w:r>
      <w:r w:rsidRPr="00670F68">
        <w:rPr>
          <w:rFonts w:asciiTheme="majorHAnsi" w:hAnsiTheme="majorHAnsi"/>
        </w:rPr>
        <w:t>.</w:t>
      </w:r>
    </w:p>
    <w:p w14:paraId="28D6474F" w14:textId="6F8BB99F" w:rsidR="00B72385" w:rsidRPr="00670F68" w:rsidRDefault="00B72385" w:rsidP="00F044E2">
      <w:pPr>
        <w:tabs>
          <w:tab w:val="right" w:leader="dot" w:pos="9000"/>
        </w:tabs>
        <w:rPr>
          <w:rFonts w:asciiTheme="majorHAnsi" w:hAnsiTheme="majorHAnsi"/>
        </w:rPr>
      </w:pPr>
    </w:p>
    <w:p w14:paraId="3F7A5A92" w14:textId="5E67A2BC" w:rsidR="00A858FD" w:rsidRPr="00670F68" w:rsidRDefault="007D1B80" w:rsidP="00F044E2">
      <w:pPr>
        <w:rPr>
          <w:rFonts w:asciiTheme="majorHAnsi" w:hAnsiTheme="majorHAnsi"/>
        </w:rPr>
      </w:pPr>
      <w:r>
        <w:rPr>
          <w:rFonts w:asciiTheme="majorHAnsi" w:hAnsiTheme="majorHAnsi"/>
        </w:rPr>
        <w:t>Proposer</w:t>
      </w:r>
      <w:r w:rsidR="0078337B">
        <w:rPr>
          <w:rFonts w:asciiTheme="majorHAnsi" w:hAnsiTheme="majorHAnsi"/>
        </w:rPr>
        <w:t>s shall s</w:t>
      </w:r>
      <w:r w:rsidR="00A858FD" w:rsidRPr="00670F68">
        <w:rPr>
          <w:rFonts w:asciiTheme="majorHAnsi" w:hAnsiTheme="majorHAnsi"/>
        </w:rPr>
        <w:t xml:space="preserve">ubmit </w:t>
      </w:r>
      <w:r w:rsidR="00523AFC" w:rsidRPr="00670F68">
        <w:rPr>
          <w:rFonts w:asciiTheme="majorHAnsi" w:hAnsiTheme="majorHAnsi"/>
        </w:rPr>
        <w:t>five</w:t>
      </w:r>
      <w:r w:rsidR="00942C8B" w:rsidRPr="00670F68">
        <w:rPr>
          <w:rFonts w:asciiTheme="majorHAnsi" w:hAnsiTheme="majorHAnsi"/>
        </w:rPr>
        <w:t xml:space="preserve"> (</w:t>
      </w:r>
      <w:r w:rsidR="00523AFC" w:rsidRPr="00670F68">
        <w:rPr>
          <w:rFonts w:asciiTheme="majorHAnsi" w:hAnsiTheme="majorHAnsi"/>
        </w:rPr>
        <w:t>5</w:t>
      </w:r>
      <w:r w:rsidR="00A858FD" w:rsidRPr="00670F68">
        <w:rPr>
          <w:rFonts w:asciiTheme="majorHAnsi" w:hAnsiTheme="majorHAnsi"/>
        </w:rPr>
        <w:t>)</w:t>
      </w:r>
      <w:r w:rsidR="005047E3" w:rsidRPr="00670F68">
        <w:rPr>
          <w:rFonts w:asciiTheme="majorHAnsi" w:hAnsiTheme="majorHAnsi"/>
        </w:rPr>
        <w:t xml:space="preserve"> hard copie</w:t>
      </w:r>
      <w:r w:rsidR="00653A23" w:rsidRPr="00670F68">
        <w:rPr>
          <w:rFonts w:asciiTheme="majorHAnsi" w:hAnsiTheme="majorHAnsi"/>
        </w:rPr>
        <w:t xml:space="preserve">s and one (1) electronic copy </w:t>
      </w:r>
      <w:r w:rsidR="00F63711" w:rsidRPr="00670F68">
        <w:rPr>
          <w:rFonts w:asciiTheme="majorHAnsi" w:hAnsiTheme="majorHAnsi"/>
        </w:rPr>
        <w:t xml:space="preserve">in PDF format </w:t>
      </w:r>
      <w:r w:rsidR="00A858FD" w:rsidRPr="00670F68">
        <w:rPr>
          <w:rFonts w:asciiTheme="majorHAnsi" w:hAnsiTheme="majorHAnsi"/>
        </w:rPr>
        <w:t xml:space="preserve">on a </w:t>
      </w:r>
      <w:r w:rsidR="00D64040" w:rsidRPr="00AB3DAC">
        <w:rPr>
          <w:rFonts w:asciiTheme="majorHAnsi" w:hAnsiTheme="majorHAnsi"/>
        </w:rPr>
        <w:t>USB</w:t>
      </w:r>
      <w:r w:rsidR="00A858FD" w:rsidRPr="00670F68">
        <w:rPr>
          <w:rFonts w:asciiTheme="majorHAnsi" w:hAnsiTheme="majorHAnsi"/>
        </w:rPr>
        <w:t xml:space="preserve"> of the </w:t>
      </w:r>
      <w:r w:rsidR="00155C30" w:rsidRPr="00670F68">
        <w:rPr>
          <w:rFonts w:asciiTheme="majorHAnsi" w:hAnsiTheme="majorHAnsi"/>
        </w:rPr>
        <w:t>proposal</w:t>
      </w:r>
      <w:r w:rsidR="00A325C3" w:rsidRPr="00AB3DAC">
        <w:rPr>
          <w:rFonts w:asciiTheme="majorHAnsi" w:hAnsiTheme="majorHAnsi"/>
        </w:rPr>
        <w:t xml:space="preserve">. </w:t>
      </w:r>
      <w:r w:rsidR="00A858FD" w:rsidRPr="00670F68">
        <w:rPr>
          <w:rFonts w:asciiTheme="majorHAnsi" w:hAnsiTheme="majorHAnsi"/>
        </w:rPr>
        <w:t xml:space="preserve">The hard copies and </w:t>
      </w:r>
      <w:r w:rsidR="00AB3DAC" w:rsidRPr="00AB3DAC">
        <w:rPr>
          <w:rFonts w:asciiTheme="majorHAnsi" w:hAnsiTheme="majorHAnsi"/>
        </w:rPr>
        <w:t>USB</w:t>
      </w:r>
      <w:r w:rsidR="00A858FD" w:rsidRPr="00670F68">
        <w:rPr>
          <w:rFonts w:asciiTheme="majorHAnsi" w:hAnsiTheme="majorHAnsi"/>
        </w:rPr>
        <w:t xml:space="preserve"> shall be mailed or submitted to the </w:t>
      </w:r>
      <w:r w:rsidR="00CD365C" w:rsidRPr="00CD365C">
        <w:rPr>
          <w:rFonts w:asciiTheme="majorHAnsi" w:hAnsiTheme="majorHAnsi"/>
        </w:rPr>
        <w:t>Commission</w:t>
      </w:r>
      <w:r w:rsidR="000A2BAB" w:rsidRPr="00CD365C">
        <w:rPr>
          <w:rFonts w:asciiTheme="majorHAnsi" w:hAnsiTheme="majorHAnsi"/>
        </w:rPr>
        <w:t xml:space="preserve"> </w:t>
      </w:r>
      <w:r w:rsidR="00A858FD" w:rsidRPr="00CD365C">
        <w:rPr>
          <w:rFonts w:asciiTheme="majorHAnsi" w:hAnsiTheme="majorHAnsi"/>
        </w:rPr>
        <w:t>prior</w:t>
      </w:r>
      <w:r w:rsidR="00A858FD" w:rsidRPr="00670F68">
        <w:rPr>
          <w:rFonts w:asciiTheme="majorHAnsi" w:hAnsiTheme="majorHAnsi"/>
        </w:rPr>
        <w:t xml:space="preserve"> to </w:t>
      </w:r>
      <w:r w:rsidR="00FB128A" w:rsidRPr="00670F68">
        <w:rPr>
          <w:rFonts w:asciiTheme="majorHAnsi" w:hAnsiTheme="majorHAnsi"/>
          <w:b/>
        </w:rPr>
        <w:t>4</w:t>
      </w:r>
      <w:r w:rsidR="00A858FD" w:rsidRPr="00670F68">
        <w:rPr>
          <w:rFonts w:asciiTheme="majorHAnsi" w:hAnsiTheme="majorHAnsi"/>
          <w:b/>
        </w:rPr>
        <w:t xml:space="preserve">:00 </w:t>
      </w:r>
      <w:r w:rsidR="00A858FD" w:rsidRPr="00670F68">
        <w:rPr>
          <w:rFonts w:asciiTheme="majorHAnsi" w:hAnsiTheme="majorHAnsi"/>
          <w:b/>
          <w:smallCaps/>
        </w:rPr>
        <w:t>p.m</w:t>
      </w:r>
      <w:r w:rsidR="00A858FD" w:rsidRPr="00670F68">
        <w:rPr>
          <w:rFonts w:asciiTheme="majorHAnsi" w:hAnsiTheme="majorHAnsi"/>
          <w:b/>
        </w:rPr>
        <w:t>.,</w:t>
      </w:r>
      <w:r w:rsidR="00EB712F" w:rsidRPr="00670F68">
        <w:rPr>
          <w:rFonts w:asciiTheme="majorHAnsi" w:hAnsiTheme="majorHAnsi"/>
          <w:b/>
        </w:rPr>
        <w:t xml:space="preserve"> </w:t>
      </w:r>
      <w:r w:rsidR="00FD4F83">
        <w:rPr>
          <w:rFonts w:asciiTheme="majorHAnsi" w:hAnsiTheme="majorHAnsi"/>
          <w:b/>
        </w:rPr>
        <w:t xml:space="preserve">6/15/26. </w:t>
      </w:r>
      <w:r w:rsidR="00A858FD" w:rsidRPr="00670F68">
        <w:rPr>
          <w:rFonts w:asciiTheme="majorHAnsi" w:hAnsiTheme="majorHAnsi"/>
        </w:rPr>
        <w:t xml:space="preserve">Proposals shall be submitted in a sealed package clearly marked </w:t>
      </w:r>
      <w:r w:rsidR="00CD365C" w:rsidRPr="00CD365C">
        <w:rPr>
          <w:rFonts w:asciiTheme="majorHAnsi" w:hAnsiTheme="majorHAnsi"/>
          <w:b/>
        </w:rPr>
        <w:t>SS4A Comprehensive Safety Action Plan</w:t>
      </w:r>
      <w:r w:rsidR="00CD365C">
        <w:rPr>
          <w:rFonts w:asciiTheme="majorHAnsi" w:hAnsiTheme="majorHAnsi"/>
          <w:b/>
        </w:rPr>
        <w:t xml:space="preserve"> </w:t>
      </w:r>
      <w:r w:rsidR="00A858FD" w:rsidRPr="00670F68">
        <w:rPr>
          <w:rFonts w:asciiTheme="majorHAnsi" w:hAnsiTheme="majorHAnsi"/>
        </w:rPr>
        <w:t>and addressed as follows:</w:t>
      </w:r>
    </w:p>
    <w:p w14:paraId="53F167B5" w14:textId="77777777" w:rsidR="00A858FD" w:rsidRPr="00670F68" w:rsidRDefault="00A858FD" w:rsidP="00F044E2">
      <w:pPr>
        <w:tabs>
          <w:tab w:val="right" w:leader="dot" w:pos="9000"/>
        </w:tabs>
        <w:rPr>
          <w:rFonts w:asciiTheme="majorHAnsi" w:hAnsiTheme="majorHAnsi"/>
        </w:rPr>
      </w:pPr>
    </w:p>
    <w:p w14:paraId="54C7A021" w14:textId="6FF290CF" w:rsidR="00E92F9F" w:rsidRPr="00CD365C" w:rsidRDefault="00A858FD" w:rsidP="00F044E2">
      <w:pPr>
        <w:rPr>
          <w:rFonts w:asciiTheme="majorHAnsi" w:hAnsiTheme="majorHAnsi"/>
          <w:b/>
          <w:bCs/>
        </w:rPr>
      </w:pPr>
      <w:r w:rsidRPr="00670F68">
        <w:rPr>
          <w:rFonts w:asciiTheme="majorHAnsi" w:hAnsiTheme="majorHAnsi"/>
        </w:rPr>
        <w:tab/>
      </w:r>
      <w:bookmarkStart w:id="1" w:name="_Hlk57965142"/>
      <w:r w:rsidR="00CD365C" w:rsidRPr="00CD365C">
        <w:rPr>
          <w:rFonts w:asciiTheme="majorHAnsi" w:hAnsiTheme="majorHAnsi"/>
          <w:b/>
          <w:bCs/>
        </w:rPr>
        <w:t>Tehama County Transportation Commission</w:t>
      </w:r>
    </w:p>
    <w:p w14:paraId="641595B9" w14:textId="77777777" w:rsidR="00CD365C" w:rsidRPr="00CD365C" w:rsidRDefault="00830B24" w:rsidP="00CD365C">
      <w:pPr>
        <w:rPr>
          <w:rFonts w:asciiTheme="majorHAnsi" w:hAnsiTheme="majorHAnsi"/>
          <w:b/>
          <w:bCs/>
        </w:rPr>
      </w:pPr>
      <w:r w:rsidRPr="00CD365C">
        <w:rPr>
          <w:rFonts w:asciiTheme="majorHAnsi" w:hAnsiTheme="majorHAnsi"/>
          <w:b/>
          <w:bCs/>
        </w:rPr>
        <w:tab/>
      </w:r>
      <w:r w:rsidR="00CD365C" w:rsidRPr="00CD365C">
        <w:rPr>
          <w:rFonts w:asciiTheme="majorHAnsi" w:hAnsiTheme="majorHAnsi"/>
          <w:b/>
          <w:bCs/>
        </w:rPr>
        <w:t>SS4A Comprehensive Safety Action Plan</w:t>
      </w:r>
    </w:p>
    <w:p w14:paraId="5329D57A" w14:textId="1E98B99E" w:rsidR="00830B24" w:rsidRPr="00CD365C" w:rsidRDefault="00A858FD" w:rsidP="00CD365C">
      <w:pPr>
        <w:rPr>
          <w:rFonts w:asciiTheme="majorHAnsi" w:hAnsiTheme="majorHAnsi"/>
          <w:b/>
          <w:bCs/>
        </w:rPr>
      </w:pPr>
      <w:r w:rsidRPr="00CD365C">
        <w:rPr>
          <w:rFonts w:asciiTheme="majorHAnsi" w:hAnsiTheme="majorHAnsi"/>
          <w:b/>
          <w:bCs/>
        </w:rPr>
        <w:tab/>
      </w:r>
      <w:r w:rsidR="0034450A" w:rsidRPr="00CD365C">
        <w:rPr>
          <w:rFonts w:asciiTheme="majorHAnsi" w:hAnsiTheme="majorHAnsi"/>
          <w:b/>
          <w:bCs/>
        </w:rPr>
        <w:t>1509 Schwab Street</w:t>
      </w:r>
    </w:p>
    <w:p w14:paraId="06EF9273" w14:textId="0394231E" w:rsidR="00830B24" w:rsidRPr="00CD365C" w:rsidRDefault="00830B24" w:rsidP="00F044E2">
      <w:pPr>
        <w:rPr>
          <w:rFonts w:asciiTheme="majorHAnsi" w:hAnsiTheme="majorHAnsi"/>
          <w:b/>
          <w:bCs/>
        </w:rPr>
      </w:pPr>
      <w:r w:rsidRPr="00CD365C">
        <w:rPr>
          <w:rFonts w:asciiTheme="majorHAnsi" w:hAnsiTheme="majorHAnsi"/>
          <w:b/>
          <w:bCs/>
        </w:rPr>
        <w:tab/>
      </w:r>
      <w:bookmarkEnd w:id="1"/>
      <w:r w:rsidR="0034450A" w:rsidRPr="00CD365C">
        <w:rPr>
          <w:rFonts w:asciiTheme="majorHAnsi" w:hAnsiTheme="majorHAnsi"/>
          <w:b/>
          <w:bCs/>
        </w:rPr>
        <w:t>Red Bluff, CA 96080</w:t>
      </w:r>
    </w:p>
    <w:p w14:paraId="37306F4E" w14:textId="77777777" w:rsidR="00A858FD" w:rsidRPr="00670F68" w:rsidRDefault="00A858FD" w:rsidP="00F044E2">
      <w:pPr>
        <w:rPr>
          <w:rFonts w:asciiTheme="majorHAnsi" w:hAnsiTheme="majorHAnsi"/>
        </w:rPr>
      </w:pPr>
    </w:p>
    <w:p w14:paraId="582AC319" w14:textId="0821610E" w:rsidR="00A858FD" w:rsidRPr="00670F68" w:rsidRDefault="00AF0546" w:rsidP="00F044E2">
      <w:pPr>
        <w:shd w:val="clear" w:color="auto" w:fill="FFFFFF"/>
        <w:autoSpaceDE w:val="0"/>
        <w:autoSpaceDN w:val="0"/>
        <w:adjustRightInd w:val="0"/>
        <w:rPr>
          <w:rFonts w:asciiTheme="majorHAnsi" w:hAnsiTheme="majorHAnsi"/>
          <w:color w:val="000000"/>
        </w:rPr>
      </w:pPr>
      <w:r w:rsidRPr="00670F68">
        <w:rPr>
          <w:rFonts w:asciiTheme="majorHAnsi" w:hAnsiTheme="majorHAnsi"/>
          <w:color w:val="000000"/>
        </w:rPr>
        <w:t>Proposals</w:t>
      </w:r>
      <w:r w:rsidR="00A858FD" w:rsidRPr="00670F68">
        <w:rPr>
          <w:rFonts w:asciiTheme="majorHAnsi" w:hAnsiTheme="majorHAnsi"/>
          <w:color w:val="000000"/>
        </w:rPr>
        <w:t xml:space="preserve"> received after the time and date </w:t>
      </w:r>
      <w:r w:rsidR="00A858FD" w:rsidRPr="00670F68">
        <w:rPr>
          <w:rFonts w:asciiTheme="majorHAnsi" w:hAnsiTheme="majorHAnsi"/>
          <w:color w:val="212121"/>
        </w:rPr>
        <w:t xml:space="preserve">specified above </w:t>
      </w:r>
      <w:r w:rsidR="00A858FD" w:rsidRPr="00670F68">
        <w:rPr>
          <w:rFonts w:asciiTheme="majorHAnsi" w:hAnsiTheme="majorHAnsi"/>
          <w:color w:val="000000"/>
        </w:rPr>
        <w:t xml:space="preserve">will be </w:t>
      </w:r>
      <w:r w:rsidR="00A858FD" w:rsidRPr="00670F68">
        <w:rPr>
          <w:rFonts w:asciiTheme="majorHAnsi" w:hAnsiTheme="majorHAnsi"/>
          <w:color w:val="212121"/>
        </w:rPr>
        <w:t>considered</w:t>
      </w:r>
      <w:r w:rsidR="00BB4C06" w:rsidRPr="00670F68">
        <w:rPr>
          <w:rFonts w:asciiTheme="majorHAnsi" w:hAnsiTheme="majorHAnsi"/>
          <w:color w:val="212121"/>
        </w:rPr>
        <w:t xml:space="preserve"> nonresponsive</w:t>
      </w:r>
      <w:r w:rsidR="00A858FD" w:rsidRPr="00670F68">
        <w:rPr>
          <w:rFonts w:asciiTheme="majorHAnsi" w:hAnsiTheme="majorHAnsi"/>
          <w:color w:val="212121"/>
        </w:rPr>
        <w:t xml:space="preserve"> </w:t>
      </w:r>
      <w:r w:rsidR="00A858FD" w:rsidRPr="00670F68">
        <w:rPr>
          <w:rFonts w:asciiTheme="majorHAnsi" w:hAnsiTheme="majorHAnsi"/>
          <w:color w:val="000000"/>
        </w:rPr>
        <w:t xml:space="preserve">and will be returned to the </w:t>
      </w:r>
      <w:r w:rsidR="007D1B80">
        <w:rPr>
          <w:rFonts w:asciiTheme="majorHAnsi" w:hAnsiTheme="majorHAnsi"/>
          <w:color w:val="000000"/>
        </w:rPr>
        <w:t>Proposer</w:t>
      </w:r>
      <w:r w:rsidR="00A858FD" w:rsidRPr="00670F68">
        <w:rPr>
          <w:rFonts w:asciiTheme="majorHAnsi" w:hAnsiTheme="majorHAnsi"/>
          <w:color w:val="000000"/>
        </w:rPr>
        <w:t>.</w:t>
      </w:r>
    </w:p>
    <w:p w14:paraId="7B8B8606" w14:textId="77777777" w:rsidR="00A858FD" w:rsidRPr="00670F68" w:rsidRDefault="00A858FD" w:rsidP="00F044E2">
      <w:pPr>
        <w:shd w:val="clear" w:color="auto" w:fill="FFFFFF"/>
        <w:autoSpaceDE w:val="0"/>
        <w:autoSpaceDN w:val="0"/>
        <w:adjustRightInd w:val="0"/>
        <w:rPr>
          <w:rFonts w:asciiTheme="majorHAnsi" w:hAnsiTheme="majorHAnsi"/>
        </w:rPr>
      </w:pPr>
    </w:p>
    <w:p w14:paraId="7828AEFD" w14:textId="07D068A9" w:rsidR="00A858FD" w:rsidRPr="00670F68" w:rsidRDefault="00A858FD" w:rsidP="00F044E2">
      <w:pPr>
        <w:shd w:val="clear" w:color="auto" w:fill="FFFFFF"/>
        <w:autoSpaceDE w:val="0"/>
        <w:autoSpaceDN w:val="0"/>
        <w:adjustRightInd w:val="0"/>
        <w:rPr>
          <w:rFonts w:asciiTheme="majorHAnsi" w:hAnsiTheme="majorHAnsi"/>
        </w:rPr>
      </w:pPr>
      <w:r w:rsidRPr="00670F68">
        <w:rPr>
          <w:rFonts w:asciiTheme="majorHAnsi" w:hAnsiTheme="majorHAnsi"/>
          <w:color w:val="000000"/>
        </w:rPr>
        <w:t xml:space="preserve">Any </w:t>
      </w:r>
      <w:r w:rsidR="00155C30" w:rsidRPr="00670F68">
        <w:rPr>
          <w:rFonts w:asciiTheme="majorHAnsi" w:hAnsiTheme="majorHAnsi"/>
          <w:color w:val="000000"/>
        </w:rPr>
        <w:t xml:space="preserve">proposals </w:t>
      </w:r>
      <w:r w:rsidRPr="00670F68">
        <w:rPr>
          <w:rFonts w:asciiTheme="majorHAnsi" w:hAnsiTheme="majorHAnsi"/>
          <w:color w:val="000000"/>
        </w:rPr>
        <w:t xml:space="preserve">received prior to the time and date specified above may be withdrawn </w:t>
      </w:r>
      <w:r w:rsidRPr="00670F68">
        <w:rPr>
          <w:rFonts w:asciiTheme="majorHAnsi" w:hAnsiTheme="majorHAnsi"/>
          <w:color w:val="212121"/>
        </w:rPr>
        <w:t xml:space="preserve">or </w:t>
      </w:r>
      <w:r w:rsidRPr="00670F68">
        <w:rPr>
          <w:rFonts w:asciiTheme="majorHAnsi" w:hAnsiTheme="majorHAnsi"/>
          <w:color w:val="000000"/>
        </w:rPr>
        <w:t xml:space="preserve">modified by written request of the </w:t>
      </w:r>
      <w:r w:rsidR="007D1B80">
        <w:rPr>
          <w:rFonts w:asciiTheme="majorHAnsi" w:hAnsiTheme="majorHAnsi"/>
          <w:color w:val="000000"/>
        </w:rPr>
        <w:t>Proposer</w:t>
      </w:r>
      <w:r w:rsidR="00183A8E" w:rsidRPr="00AB3DAC">
        <w:rPr>
          <w:rFonts w:asciiTheme="majorHAnsi" w:hAnsiTheme="majorHAnsi"/>
          <w:color w:val="000000"/>
        </w:rPr>
        <w:t xml:space="preserve">. </w:t>
      </w:r>
    </w:p>
    <w:p w14:paraId="4BCE16E5" w14:textId="349C8F10" w:rsidR="00A858FD" w:rsidRPr="00670F68" w:rsidRDefault="00773B21" w:rsidP="00F044E2">
      <w:pPr>
        <w:shd w:val="clear" w:color="auto" w:fill="FFFFFF"/>
        <w:autoSpaceDE w:val="0"/>
        <w:autoSpaceDN w:val="0"/>
        <w:adjustRightInd w:val="0"/>
        <w:rPr>
          <w:rFonts w:asciiTheme="majorHAnsi" w:hAnsiTheme="majorHAnsi"/>
          <w:color w:val="000000"/>
        </w:rPr>
      </w:pPr>
      <w:r w:rsidRPr="00670F68">
        <w:rPr>
          <w:rFonts w:asciiTheme="majorHAnsi" w:hAnsiTheme="majorHAnsi"/>
          <w:color w:val="000000"/>
        </w:rPr>
        <w:t xml:space="preserve">Unsigned </w:t>
      </w:r>
      <w:r w:rsidR="00155C30" w:rsidRPr="00670F68">
        <w:rPr>
          <w:rFonts w:asciiTheme="majorHAnsi" w:hAnsiTheme="majorHAnsi"/>
          <w:color w:val="000000"/>
        </w:rPr>
        <w:t xml:space="preserve">proposals </w:t>
      </w:r>
      <w:r w:rsidR="00A858FD" w:rsidRPr="00670F68">
        <w:rPr>
          <w:rFonts w:asciiTheme="majorHAnsi" w:hAnsiTheme="majorHAnsi"/>
          <w:color w:val="000000"/>
        </w:rPr>
        <w:t xml:space="preserve">or </w:t>
      </w:r>
      <w:r w:rsidR="00155C30" w:rsidRPr="00670F68">
        <w:rPr>
          <w:rFonts w:asciiTheme="majorHAnsi" w:hAnsiTheme="majorHAnsi"/>
          <w:color w:val="000000"/>
        </w:rPr>
        <w:t xml:space="preserve">proposals </w:t>
      </w:r>
      <w:r w:rsidR="00A858FD" w:rsidRPr="00670F68">
        <w:rPr>
          <w:rFonts w:asciiTheme="majorHAnsi" w:hAnsiTheme="majorHAnsi"/>
          <w:color w:val="000000"/>
        </w:rPr>
        <w:t>signed by an individual not authorized to bind the prospective</w:t>
      </w:r>
      <w:r w:rsidR="006C21B9">
        <w:rPr>
          <w:rFonts w:asciiTheme="majorHAnsi" w:hAnsiTheme="majorHAnsi"/>
          <w:color w:val="000000"/>
        </w:rPr>
        <w:t xml:space="preserve"> </w:t>
      </w:r>
      <w:r w:rsidR="007D1B80">
        <w:rPr>
          <w:rFonts w:asciiTheme="majorHAnsi" w:hAnsiTheme="majorHAnsi"/>
          <w:color w:val="000000"/>
        </w:rPr>
        <w:t>Proposer</w:t>
      </w:r>
      <w:r w:rsidR="00A858FD" w:rsidRPr="00670F68">
        <w:rPr>
          <w:rFonts w:asciiTheme="majorHAnsi" w:hAnsiTheme="majorHAnsi"/>
          <w:color w:val="000000"/>
        </w:rPr>
        <w:t xml:space="preserve"> will be</w:t>
      </w:r>
      <w:r w:rsidR="00BB4C06" w:rsidRPr="00670F68">
        <w:rPr>
          <w:rFonts w:asciiTheme="majorHAnsi" w:hAnsiTheme="majorHAnsi"/>
          <w:color w:val="000000"/>
        </w:rPr>
        <w:t xml:space="preserve"> considered nonresponsive and</w:t>
      </w:r>
      <w:r w:rsidR="00A858FD" w:rsidRPr="00670F68">
        <w:rPr>
          <w:rFonts w:asciiTheme="majorHAnsi" w:hAnsiTheme="majorHAnsi"/>
          <w:color w:val="000000"/>
        </w:rPr>
        <w:t xml:space="preserve"> rejected.</w:t>
      </w:r>
    </w:p>
    <w:p w14:paraId="3C513A1D" w14:textId="77777777" w:rsidR="00A858FD" w:rsidRPr="00670F68" w:rsidRDefault="00A858FD" w:rsidP="00F044E2">
      <w:pPr>
        <w:shd w:val="clear" w:color="auto" w:fill="FFFFFF"/>
        <w:autoSpaceDE w:val="0"/>
        <w:autoSpaceDN w:val="0"/>
        <w:adjustRightInd w:val="0"/>
        <w:rPr>
          <w:rFonts w:asciiTheme="majorHAnsi" w:hAnsiTheme="majorHAnsi"/>
        </w:rPr>
      </w:pPr>
    </w:p>
    <w:p w14:paraId="132F4C18" w14:textId="486C43A2" w:rsidR="00A858FD" w:rsidRPr="00670F68" w:rsidRDefault="00A858FD" w:rsidP="00F044E2">
      <w:pPr>
        <w:autoSpaceDE w:val="0"/>
        <w:autoSpaceDN w:val="0"/>
        <w:adjustRightInd w:val="0"/>
        <w:rPr>
          <w:rFonts w:asciiTheme="majorHAnsi" w:eastAsia="Calibri" w:hAnsiTheme="majorHAnsi"/>
          <w:snapToGrid/>
        </w:rPr>
      </w:pPr>
      <w:r w:rsidRPr="00CD365C">
        <w:rPr>
          <w:rFonts w:asciiTheme="majorHAnsi" w:hAnsiTheme="majorHAnsi"/>
          <w:color w:val="000000"/>
        </w:rPr>
        <w:lastRenderedPageBreak/>
        <w:t xml:space="preserve">This </w:t>
      </w:r>
      <w:r w:rsidR="00E80ED0" w:rsidRPr="00CD365C">
        <w:rPr>
          <w:rFonts w:asciiTheme="majorHAnsi" w:hAnsiTheme="majorHAnsi"/>
          <w:color w:val="000000"/>
        </w:rPr>
        <w:t>RFP</w:t>
      </w:r>
      <w:r w:rsidR="000D09B0" w:rsidRPr="00CD365C">
        <w:rPr>
          <w:rFonts w:asciiTheme="majorHAnsi" w:hAnsiTheme="majorHAnsi"/>
          <w:color w:val="000000"/>
        </w:rPr>
        <w:t xml:space="preserve"> </w:t>
      </w:r>
      <w:r w:rsidR="00BB4C06" w:rsidRPr="00CD365C">
        <w:rPr>
          <w:rFonts w:asciiTheme="majorHAnsi" w:hAnsiTheme="majorHAnsi"/>
          <w:color w:val="000000"/>
        </w:rPr>
        <w:t>does not commit the</w:t>
      </w:r>
      <w:r w:rsidR="00EB505E" w:rsidRPr="00CD365C">
        <w:rPr>
          <w:rFonts w:asciiTheme="majorHAnsi" w:hAnsiTheme="majorHAnsi"/>
          <w:color w:val="000000"/>
        </w:rPr>
        <w:t xml:space="preserve"> </w:t>
      </w:r>
      <w:r w:rsidR="00CD365C" w:rsidRPr="00CD365C">
        <w:rPr>
          <w:rFonts w:asciiTheme="majorHAnsi" w:hAnsiTheme="majorHAnsi"/>
          <w:color w:val="000000"/>
        </w:rPr>
        <w:t>Commission</w:t>
      </w:r>
      <w:r w:rsidR="00E92F9F" w:rsidRPr="00CD365C">
        <w:rPr>
          <w:rFonts w:asciiTheme="majorHAnsi" w:hAnsiTheme="majorHAnsi"/>
          <w:color w:val="000000"/>
        </w:rPr>
        <w:t xml:space="preserve"> </w:t>
      </w:r>
      <w:r w:rsidRPr="00CD365C">
        <w:rPr>
          <w:rFonts w:asciiTheme="majorHAnsi" w:hAnsiTheme="majorHAnsi"/>
          <w:color w:val="000000"/>
        </w:rPr>
        <w:t xml:space="preserve">to award a contract, to pay any costs incurred in the preparation of a proposal for this request, or to procure or contract for services.  </w:t>
      </w:r>
      <w:r w:rsidR="00CD365C" w:rsidRPr="00CD365C">
        <w:rPr>
          <w:rFonts w:asciiTheme="majorHAnsi" w:hAnsiTheme="majorHAnsi"/>
          <w:color w:val="000000"/>
        </w:rPr>
        <w:t>Commission</w:t>
      </w:r>
      <w:r w:rsidRPr="00CD365C">
        <w:rPr>
          <w:rFonts w:asciiTheme="majorHAnsi" w:hAnsiTheme="majorHAnsi"/>
          <w:color w:val="000000"/>
        </w:rPr>
        <w:t xml:space="preserve"> reserves the right to accept or reject any or all </w:t>
      </w:r>
      <w:r w:rsidR="00B61323" w:rsidRPr="00CD365C">
        <w:rPr>
          <w:rFonts w:asciiTheme="majorHAnsi" w:hAnsiTheme="majorHAnsi"/>
          <w:color w:val="000000"/>
        </w:rPr>
        <w:t xml:space="preserve">proposals </w:t>
      </w:r>
      <w:r w:rsidRPr="00CD365C">
        <w:rPr>
          <w:rFonts w:asciiTheme="majorHAnsi" w:hAnsiTheme="majorHAnsi"/>
          <w:color w:val="000000"/>
        </w:rPr>
        <w:t>received as a result of this</w:t>
      </w:r>
      <w:r w:rsidR="00426C3D" w:rsidRPr="00CD365C">
        <w:rPr>
          <w:rFonts w:asciiTheme="majorHAnsi" w:hAnsiTheme="majorHAnsi"/>
          <w:color w:val="000000"/>
        </w:rPr>
        <w:t xml:space="preserve"> </w:t>
      </w:r>
      <w:r w:rsidR="00CB68C5" w:rsidRPr="00CD365C">
        <w:rPr>
          <w:rFonts w:asciiTheme="majorHAnsi" w:hAnsiTheme="majorHAnsi"/>
          <w:color w:val="000000"/>
        </w:rPr>
        <w:t>RFP</w:t>
      </w:r>
      <w:r w:rsidRPr="00CD365C">
        <w:rPr>
          <w:rFonts w:asciiTheme="majorHAnsi" w:hAnsiTheme="majorHAnsi"/>
          <w:color w:val="000000"/>
        </w:rPr>
        <w:t>, to negotiate with any qualified</w:t>
      </w:r>
      <w:r w:rsidR="005C751F" w:rsidRPr="00CD365C">
        <w:rPr>
          <w:rFonts w:asciiTheme="majorHAnsi" w:hAnsiTheme="majorHAnsi"/>
          <w:color w:val="000000"/>
        </w:rPr>
        <w:t xml:space="preserve"> </w:t>
      </w:r>
      <w:r w:rsidR="007D1B80">
        <w:rPr>
          <w:rFonts w:asciiTheme="majorHAnsi" w:hAnsiTheme="majorHAnsi"/>
          <w:color w:val="000000"/>
        </w:rPr>
        <w:t>Proposer</w:t>
      </w:r>
      <w:r w:rsidRPr="00CD365C">
        <w:rPr>
          <w:rFonts w:asciiTheme="majorHAnsi" w:hAnsiTheme="majorHAnsi"/>
          <w:color w:val="000000"/>
        </w:rPr>
        <w:t xml:space="preserve">, or to modify or cancel in part or in its entirety the </w:t>
      </w:r>
      <w:r w:rsidR="00E80ED0" w:rsidRPr="00CD365C">
        <w:rPr>
          <w:rFonts w:asciiTheme="majorHAnsi" w:hAnsiTheme="majorHAnsi"/>
          <w:color w:val="000000"/>
        </w:rPr>
        <w:t>RFP</w:t>
      </w:r>
      <w:r w:rsidR="000D09B0" w:rsidRPr="00CD365C">
        <w:rPr>
          <w:rFonts w:asciiTheme="majorHAnsi" w:hAnsiTheme="majorHAnsi"/>
          <w:color w:val="000000"/>
        </w:rPr>
        <w:t xml:space="preserve"> </w:t>
      </w:r>
      <w:r w:rsidRPr="00CD365C">
        <w:rPr>
          <w:rFonts w:asciiTheme="majorHAnsi" w:hAnsiTheme="majorHAnsi"/>
          <w:color w:val="000000"/>
        </w:rPr>
        <w:t xml:space="preserve">if it is in the best interests of the </w:t>
      </w:r>
      <w:r w:rsidR="00CD365C" w:rsidRPr="00CD365C">
        <w:rPr>
          <w:rFonts w:asciiTheme="majorHAnsi" w:hAnsiTheme="majorHAnsi"/>
          <w:color w:val="000000"/>
        </w:rPr>
        <w:t>Commission</w:t>
      </w:r>
      <w:r w:rsidR="00E92F9F" w:rsidRPr="00CD365C">
        <w:rPr>
          <w:rFonts w:asciiTheme="majorHAnsi" w:hAnsiTheme="majorHAnsi"/>
          <w:color w:val="000000"/>
        </w:rPr>
        <w:t xml:space="preserve"> </w:t>
      </w:r>
      <w:r w:rsidRPr="00CD365C">
        <w:rPr>
          <w:rFonts w:asciiTheme="majorHAnsi" w:hAnsiTheme="majorHAnsi"/>
          <w:color w:val="000000"/>
        </w:rPr>
        <w:t>to do so. Furthermore, a contract award may not be made based solely on price.</w:t>
      </w:r>
    </w:p>
    <w:p w14:paraId="1886FB3B" w14:textId="77777777" w:rsidR="00A858FD" w:rsidRPr="00670F68" w:rsidRDefault="00A858FD" w:rsidP="00F044E2">
      <w:pPr>
        <w:shd w:val="clear" w:color="auto" w:fill="FFFFFF"/>
        <w:autoSpaceDE w:val="0"/>
        <w:autoSpaceDN w:val="0"/>
        <w:adjustRightInd w:val="0"/>
        <w:rPr>
          <w:rFonts w:asciiTheme="majorHAnsi" w:hAnsiTheme="majorHAnsi"/>
        </w:rPr>
      </w:pPr>
    </w:p>
    <w:p w14:paraId="0D60B6FE" w14:textId="42378ED6" w:rsidR="00A858FD" w:rsidRPr="00670F68" w:rsidRDefault="00E65A92" w:rsidP="00F044E2">
      <w:pPr>
        <w:shd w:val="clear" w:color="auto" w:fill="FFFFFF"/>
        <w:autoSpaceDE w:val="0"/>
        <w:autoSpaceDN w:val="0"/>
        <w:adjustRightInd w:val="0"/>
        <w:rPr>
          <w:rFonts w:asciiTheme="majorHAnsi" w:hAnsiTheme="majorHAnsi"/>
          <w:color w:val="000000"/>
        </w:rPr>
      </w:pPr>
      <w:r w:rsidRPr="00CD365C">
        <w:rPr>
          <w:rFonts w:asciiTheme="majorHAnsi" w:hAnsiTheme="majorHAnsi"/>
          <w:color w:val="000000"/>
        </w:rPr>
        <w:t>P</w:t>
      </w:r>
      <w:r w:rsidR="00A858FD" w:rsidRPr="00CD365C">
        <w:rPr>
          <w:rFonts w:asciiTheme="majorHAnsi" w:hAnsiTheme="majorHAnsi"/>
          <w:color w:val="000000"/>
        </w:rPr>
        <w:t xml:space="preserve">rospective </w:t>
      </w:r>
      <w:r w:rsidR="007D1B80">
        <w:rPr>
          <w:rFonts w:asciiTheme="majorHAnsi" w:hAnsiTheme="majorHAnsi"/>
          <w:color w:val="000000"/>
        </w:rPr>
        <w:t>Proposer</w:t>
      </w:r>
      <w:r w:rsidRPr="00CD365C">
        <w:rPr>
          <w:rFonts w:asciiTheme="majorHAnsi" w:hAnsiTheme="majorHAnsi"/>
          <w:color w:val="000000"/>
        </w:rPr>
        <w:t>s are</w:t>
      </w:r>
      <w:r w:rsidR="00A858FD" w:rsidRPr="00CD365C">
        <w:rPr>
          <w:rFonts w:asciiTheme="majorHAnsi" w:hAnsiTheme="majorHAnsi"/>
          <w:color w:val="000000"/>
        </w:rPr>
        <w:t xml:space="preserve"> advised that should this </w:t>
      </w:r>
      <w:r w:rsidR="00E80ED0" w:rsidRPr="00CD365C">
        <w:rPr>
          <w:rFonts w:asciiTheme="majorHAnsi" w:hAnsiTheme="majorHAnsi"/>
          <w:color w:val="000000"/>
        </w:rPr>
        <w:t>RFP</w:t>
      </w:r>
      <w:r w:rsidR="000D09B0" w:rsidRPr="00CD365C">
        <w:rPr>
          <w:rFonts w:asciiTheme="majorHAnsi" w:hAnsiTheme="majorHAnsi"/>
          <w:color w:val="000000"/>
        </w:rPr>
        <w:t xml:space="preserve"> </w:t>
      </w:r>
      <w:r w:rsidR="00A858FD" w:rsidRPr="00CD365C">
        <w:rPr>
          <w:rFonts w:asciiTheme="majorHAnsi" w:hAnsiTheme="majorHAnsi"/>
          <w:color w:val="000000"/>
        </w:rPr>
        <w:t>result in recommendation for award of a contract, the contract will not be in force until it is approved and fully executed by the</w:t>
      </w:r>
      <w:r w:rsidR="00BF0546" w:rsidRPr="00CD365C">
        <w:rPr>
          <w:rFonts w:asciiTheme="majorHAnsi" w:hAnsiTheme="majorHAnsi"/>
          <w:color w:val="000000"/>
        </w:rPr>
        <w:t xml:space="preserve"> </w:t>
      </w:r>
      <w:r w:rsidR="00CD365C" w:rsidRPr="00CD365C">
        <w:rPr>
          <w:rFonts w:asciiTheme="majorHAnsi" w:hAnsiTheme="majorHAnsi"/>
          <w:color w:val="000000"/>
        </w:rPr>
        <w:t>Commission</w:t>
      </w:r>
      <w:r w:rsidR="00A858FD" w:rsidRPr="00CD365C">
        <w:rPr>
          <w:rFonts w:asciiTheme="majorHAnsi" w:hAnsiTheme="majorHAnsi"/>
          <w:color w:val="000000"/>
        </w:rPr>
        <w:t>.</w:t>
      </w:r>
    </w:p>
    <w:p w14:paraId="5258D65C" w14:textId="77777777" w:rsidR="00A858FD" w:rsidRPr="00670F68" w:rsidRDefault="00A858FD" w:rsidP="00F044E2">
      <w:pPr>
        <w:shd w:val="clear" w:color="auto" w:fill="FFFFFF"/>
        <w:autoSpaceDE w:val="0"/>
        <w:autoSpaceDN w:val="0"/>
        <w:adjustRightInd w:val="0"/>
        <w:rPr>
          <w:rFonts w:asciiTheme="majorHAnsi" w:hAnsiTheme="majorHAnsi"/>
        </w:rPr>
      </w:pPr>
    </w:p>
    <w:p w14:paraId="35246815" w14:textId="77777777" w:rsidR="00A858FD" w:rsidRPr="00670F68" w:rsidRDefault="00A858FD" w:rsidP="00F044E2">
      <w:pPr>
        <w:shd w:val="clear" w:color="auto" w:fill="FFFFFF"/>
        <w:autoSpaceDE w:val="0"/>
        <w:autoSpaceDN w:val="0"/>
        <w:adjustRightInd w:val="0"/>
        <w:rPr>
          <w:rFonts w:asciiTheme="majorHAnsi" w:hAnsiTheme="majorHAnsi"/>
          <w:color w:val="000000"/>
        </w:rPr>
      </w:pPr>
      <w:r w:rsidRPr="00670F68">
        <w:rPr>
          <w:rFonts w:asciiTheme="majorHAnsi" w:hAnsiTheme="majorHAnsi"/>
          <w:color w:val="000000"/>
        </w:rPr>
        <w:t xml:space="preserve">All products used or developed in the execution of any contract resulting from this </w:t>
      </w:r>
      <w:r w:rsidR="00E80ED0" w:rsidRPr="00670F68">
        <w:rPr>
          <w:rFonts w:asciiTheme="majorHAnsi" w:hAnsiTheme="majorHAnsi"/>
          <w:color w:val="000000"/>
        </w:rPr>
        <w:t>RFP</w:t>
      </w:r>
      <w:r w:rsidR="000D09B0" w:rsidRPr="00670F68">
        <w:rPr>
          <w:rFonts w:asciiTheme="majorHAnsi" w:hAnsiTheme="majorHAnsi"/>
          <w:color w:val="000000"/>
        </w:rPr>
        <w:t xml:space="preserve"> </w:t>
      </w:r>
      <w:r w:rsidRPr="00670F68">
        <w:rPr>
          <w:rFonts w:asciiTheme="majorHAnsi" w:hAnsiTheme="majorHAnsi"/>
          <w:color w:val="000000"/>
        </w:rPr>
        <w:t>will remain in the public domain at the completion of the contract.</w:t>
      </w:r>
    </w:p>
    <w:p w14:paraId="50B9AD3E" w14:textId="77777777" w:rsidR="004D711A" w:rsidRPr="00670F68" w:rsidRDefault="004D711A" w:rsidP="00F044E2">
      <w:pPr>
        <w:shd w:val="clear" w:color="auto" w:fill="FFFFFF"/>
        <w:autoSpaceDE w:val="0"/>
        <w:autoSpaceDN w:val="0"/>
        <w:adjustRightInd w:val="0"/>
        <w:rPr>
          <w:rFonts w:asciiTheme="majorHAnsi" w:hAnsiTheme="majorHAnsi"/>
          <w:color w:val="000000"/>
        </w:rPr>
      </w:pPr>
    </w:p>
    <w:p w14:paraId="7E380587" w14:textId="163BA04A" w:rsidR="004D711A" w:rsidRDefault="004D711A" w:rsidP="00F044E2">
      <w:pPr>
        <w:shd w:val="clear" w:color="auto" w:fill="FFFFFF"/>
        <w:autoSpaceDE w:val="0"/>
        <w:autoSpaceDN w:val="0"/>
        <w:adjustRightInd w:val="0"/>
        <w:rPr>
          <w:rFonts w:asciiTheme="majorHAnsi" w:hAnsiTheme="majorHAnsi"/>
          <w:color w:val="000000"/>
        </w:rPr>
      </w:pPr>
      <w:r w:rsidRPr="00670F68">
        <w:rPr>
          <w:rFonts w:asciiTheme="majorHAnsi" w:hAnsiTheme="majorHAnsi"/>
          <w:color w:val="000000"/>
        </w:rPr>
        <w:t xml:space="preserve">The anticipated </w:t>
      </w:r>
      <w:r w:rsidR="007D1B80">
        <w:rPr>
          <w:rFonts w:asciiTheme="majorHAnsi" w:hAnsiTheme="majorHAnsi"/>
          <w:color w:val="000000"/>
        </w:rPr>
        <w:t>PROPOSER</w:t>
      </w:r>
      <w:r w:rsidRPr="00670F68">
        <w:rPr>
          <w:rFonts w:asciiTheme="majorHAnsi" w:hAnsiTheme="majorHAnsi"/>
          <w:color w:val="000000"/>
        </w:rPr>
        <w:t xml:space="preserve"> selection schedule is as follows:</w:t>
      </w:r>
    </w:p>
    <w:p w14:paraId="09CFCC6A" w14:textId="77777777" w:rsidR="007D4772" w:rsidRDefault="007E6FCD" w:rsidP="007D4772">
      <w:pPr>
        <w:shd w:val="clear" w:color="auto" w:fill="FFFFFF"/>
        <w:autoSpaceDE w:val="0"/>
        <w:autoSpaceDN w:val="0"/>
        <w:adjustRightInd w:val="0"/>
        <w:rPr>
          <w:rFonts w:asciiTheme="majorHAnsi" w:hAnsiTheme="majorHAnsi"/>
          <w:color w:val="000000"/>
        </w:rPr>
      </w:pPr>
      <w:r>
        <w:rPr>
          <w:rFonts w:asciiTheme="majorHAnsi" w:hAnsiTheme="majorHAnsi"/>
          <w:color w:val="000000"/>
        </w:rPr>
        <w:tab/>
      </w:r>
      <w:r w:rsidR="007D4772">
        <w:rPr>
          <w:rFonts w:asciiTheme="majorHAnsi" w:hAnsiTheme="majorHAnsi"/>
          <w:color w:val="000000"/>
        </w:rPr>
        <w:t xml:space="preserve">Questions due: 5/15/26 </w:t>
      </w:r>
    </w:p>
    <w:p w14:paraId="03E1B4FC" w14:textId="77777777" w:rsidR="007D4772" w:rsidRDefault="007D4772" w:rsidP="007D4772">
      <w:pPr>
        <w:shd w:val="clear" w:color="auto" w:fill="FFFFFF"/>
        <w:autoSpaceDE w:val="0"/>
        <w:autoSpaceDN w:val="0"/>
        <w:adjustRightInd w:val="0"/>
        <w:rPr>
          <w:rFonts w:asciiTheme="majorHAnsi" w:hAnsiTheme="majorHAnsi"/>
          <w:color w:val="000000"/>
        </w:rPr>
      </w:pPr>
      <w:r>
        <w:rPr>
          <w:rFonts w:asciiTheme="majorHAnsi" w:hAnsiTheme="majorHAnsi"/>
          <w:color w:val="000000"/>
        </w:rPr>
        <w:tab/>
        <w:t>Answers due: 5/29/26</w:t>
      </w:r>
    </w:p>
    <w:p w14:paraId="04E8DD0D" w14:textId="77777777" w:rsidR="007D4772" w:rsidRPr="00670F68" w:rsidRDefault="007D4772" w:rsidP="007D4772">
      <w:pPr>
        <w:shd w:val="clear" w:color="auto" w:fill="FFFFFF"/>
        <w:autoSpaceDE w:val="0"/>
        <w:autoSpaceDN w:val="0"/>
        <w:adjustRightInd w:val="0"/>
        <w:rPr>
          <w:rFonts w:asciiTheme="majorHAnsi" w:hAnsiTheme="majorHAnsi"/>
          <w:color w:val="000000"/>
        </w:rPr>
      </w:pPr>
      <w:r>
        <w:rPr>
          <w:rFonts w:asciiTheme="majorHAnsi" w:hAnsiTheme="majorHAnsi"/>
          <w:color w:val="000000"/>
        </w:rPr>
        <w:t xml:space="preserve">              Proposals due: 6/15/26</w:t>
      </w:r>
    </w:p>
    <w:p w14:paraId="7474E35B" w14:textId="77777777" w:rsidR="007D4772" w:rsidRPr="00AB3DAC" w:rsidRDefault="007D4772" w:rsidP="007D4772">
      <w:pPr>
        <w:shd w:val="clear" w:color="auto" w:fill="FFFFFF"/>
        <w:autoSpaceDE w:val="0"/>
        <w:autoSpaceDN w:val="0"/>
        <w:adjustRightInd w:val="0"/>
        <w:rPr>
          <w:rFonts w:asciiTheme="majorHAnsi" w:hAnsiTheme="majorHAnsi"/>
          <w:color w:val="000000"/>
        </w:rPr>
      </w:pPr>
      <w:r w:rsidRPr="00670F68">
        <w:rPr>
          <w:rFonts w:asciiTheme="majorHAnsi" w:hAnsiTheme="majorHAnsi"/>
          <w:color w:val="000000"/>
        </w:rPr>
        <w:tab/>
        <w:t xml:space="preserve">Proposal review and evaluation: </w:t>
      </w:r>
      <w:r>
        <w:rPr>
          <w:rFonts w:asciiTheme="majorHAnsi" w:hAnsiTheme="majorHAnsi"/>
          <w:color w:val="000000"/>
        </w:rPr>
        <w:t>6/22/26</w:t>
      </w:r>
    </w:p>
    <w:p w14:paraId="43431DA2" w14:textId="77777777" w:rsidR="007D4772" w:rsidRPr="00AB3DAC" w:rsidRDefault="007D4772" w:rsidP="007D4772">
      <w:pPr>
        <w:shd w:val="clear" w:color="auto" w:fill="FFFFFF"/>
        <w:autoSpaceDE w:val="0"/>
        <w:autoSpaceDN w:val="0"/>
        <w:adjustRightInd w:val="0"/>
        <w:rPr>
          <w:rFonts w:asciiTheme="majorHAnsi" w:hAnsiTheme="majorHAnsi"/>
          <w:color w:val="000000"/>
        </w:rPr>
      </w:pPr>
      <w:r w:rsidRPr="00670F68">
        <w:rPr>
          <w:rFonts w:asciiTheme="majorHAnsi" w:hAnsiTheme="majorHAnsi"/>
          <w:color w:val="000000"/>
        </w:rPr>
        <w:tab/>
        <w:t>Oral interviews</w:t>
      </w:r>
      <w:r>
        <w:rPr>
          <w:rFonts w:asciiTheme="majorHAnsi" w:hAnsiTheme="majorHAnsi"/>
          <w:color w:val="000000"/>
        </w:rPr>
        <w:t xml:space="preserve"> scheduled</w:t>
      </w:r>
      <w:r w:rsidRPr="00670F68">
        <w:rPr>
          <w:rFonts w:asciiTheme="majorHAnsi" w:hAnsiTheme="majorHAnsi"/>
          <w:color w:val="000000"/>
        </w:rPr>
        <w:t xml:space="preserve">: </w:t>
      </w:r>
      <w:r>
        <w:rPr>
          <w:rFonts w:asciiTheme="majorHAnsi" w:hAnsiTheme="majorHAnsi"/>
          <w:color w:val="000000"/>
        </w:rPr>
        <w:t>6/24/26</w:t>
      </w:r>
    </w:p>
    <w:p w14:paraId="00D4A832" w14:textId="77777777" w:rsidR="007D4772" w:rsidRPr="00AB3DAC" w:rsidRDefault="007D4772" w:rsidP="007D4772">
      <w:pPr>
        <w:shd w:val="clear" w:color="auto" w:fill="FFFFFF"/>
        <w:autoSpaceDE w:val="0"/>
        <w:autoSpaceDN w:val="0"/>
        <w:adjustRightInd w:val="0"/>
        <w:rPr>
          <w:rFonts w:asciiTheme="majorHAnsi" w:hAnsiTheme="majorHAnsi"/>
          <w:color w:val="000000"/>
        </w:rPr>
      </w:pPr>
      <w:r w:rsidRPr="00670F68">
        <w:rPr>
          <w:rFonts w:asciiTheme="majorHAnsi" w:hAnsiTheme="majorHAnsi"/>
          <w:color w:val="000000"/>
        </w:rPr>
        <w:tab/>
        <w:t xml:space="preserve">Cost Negotiation with first ranked </w:t>
      </w:r>
      <w:r>
        <w:rPr>
          <w:rFonts w:asciiTheme="majorHAnsi" w:hAnsiTheme="majorHAnsi"/>
          <w:color w:val="000000"/>
        </w:rPr>
        <w:t>Proposer</w:t>
      </w:r>
      <w:r w:rsidRPr="00670F68">
        <w:rPr>
          <w:rFonts w:asciiTheme="majorHAnsi" w:hAnsiTheme="majorHAnsi"/>
          <w:color w:val="000000"/>
        </w:rPr>
        <w:t xml:space="preserve">: </w:t>
      </w:r>
      <w:r>
        <w:rPr>
          <w:rFonts w:asciiTheme="majorHAnsi" w:hAnsiTheme="majorHAnsi"/>
          <w:color w:val="000000"/>
        </w:rPr>
        <w:t>6/29/26</w:t>
      </w:r>
    </w:p>
    <w:p w14:paraId="79453F8E" w14:textId="77777777" w:rsidR="007D4772" w:rsidRPr="00670F68" w:rsidRDefault="007D4772" w:rsidP="007D4772">
      <w:pPr>
        <w:shd w:val="clear" w:color="auto" w:fill="FFFFFF"/>
        <w:autoSpaceDE w:val="0"/>
        <w:autoSpaceDN w:val="0"/>
        <w:adjustRightInd w:val="0"/>
        <w:rPr>
          <w:rFonts w:asciiTheme="majorHAnsi" w:hAnsiTheme="majorHAnsi"/>
          <w:color w:val="000000"/>
        </w:rPr>
      </w:pPr>
      <w:r w:rsidRPr="00670F68">
        <w:rPr>
          <w:rFonts w:asciiTheme="majorHAnsi" w:hAnsiTheme="majorHAnsi"/>
          <w:color w:val="000000"/>
        </w:rPr>
        <w:tab/>
        <w:t xml:space="preserve">Contract Award and Notice to Proceed: </w:t>
      </w:r>
      <w:r w:rsidRPr="00AF0F83">
        <w:rPr>
          <w:rFonts w:asciiTheme="majorHAnsi" w:hAnsiTheme="majorHAnsi"/>
          <w:color w:val="000000"/>
        </w:rPr>
        <w:t>7/13/26</w:t>
      </w:r>
      <w:r w:rsidRPr="00AF0F83" w:rsidDel="00572B33">
        <w:rPr>
          <w:rFonts w:asciiTheme="majorHAnsi" w:hAnsiTheme="majorHAnsi"/>
          <w:color w:val="000000"/>
        </w:rPr>
        <w:t xml:space="preserve"> </w:t>
      </w:r>
    </w:p>
    <w:p w14:paraId="70A43008" w14:textId="77777777" w:rsidR="007D4772" w:rsidRPr="00670F68" w:rsidRDefault="007D4772" w:rsidP="007D4772">
      <w:pPr>
        <w:shd w:val="clear" w:color="auto" w:fill="FFFFFF"/>
        <w:autoSpaceDE w:val="0"/>
        <w:autoSpaceDN w:val="0"/>
        <w:adjustRightInd w:val="0"/>
        <w:rPr>
          <w:rFonts w:asciiTheme="majorHAnsi" w:hAnsiTheme="majorHAnsi"/>
          <w:color w:val="000000"/>
        </w:rPr>
      </w:pPr>
    </w:p>
    <w:p w14:paraId="40020BE7" w14:textId="5C4483E3" w:rsidR="00F35E37" w:rsidRDefault="007D4772" w:rsidP="003966C5">
      <w:pPr>
        <w:tabs>
          <w:tab w:val="right" w:leader="dot" w:pos="9000"/>
        </w:tabs>
        <w:rPr>
          <w:rFonts w:asciiTheme="majorHAnsi" w:hAnsiTheme="majorHAnsi"/>
        </w:rPr>
      </w:pPr>
      <w:r w:rsidRPr="00670F68">
        <w:rPr>
          <w:rFonts w:asciiTheme="majorHAnsi" w:hAnsiTheme="majorHAnsi"/>
        </w:rPr>
        <w:t xml:space="preserve">Any questions related to this RFP shall be submitted in writing to the attention of </w:t>
      </w:r>
      <w:r>
        <w:rPr>
          <w:rFonts w:asciiTheme="majorHAnsi" w:hAnsiTheme="majorHAnsi"/>
        </w:rPr>
        <w:t>Jessica Riske-Gomez</w:t>
      </w:r>
      <w:r w:rsidRPr="00AB3DAC">
        <w:rPr>
          <w:rFonts w:asciiTheme="majorHAnsi" w:hAnsiTheme="majorHAnsi"/>
        </w:rPr>
        <w:t xml:space="preserve"> </w:t>
      </w:r>
      <w:r w:rsidRPr="00670F68">
        <w:rPr>
          <w:rFonts w:asciiTheme="majorHAnsi" w:hAnsiTheme="majorHAnsi"/>
        </w:rPr>
        <w:t xml:space="preserve">via email </w:t>
      </w:r>
      <w:r w:rsidRPr="00CD365C">
        <w:rPr>
          <w:rFonts w:asciiTheme="majorHAnsi" w:hAnsiTheme="majorHAnsi"/>
        </w:rPr>
        <w:t xml:space="preserve">at </w:t>
      </w:r>
      <w:hyperlink r:id="rId13" w:history="1">
        <w:r w:rsidRPr="008F33D4">
          <w:rPr>
            <w:rStyle w:val="Hyperlink"/>
            <w:rFonts w:asciiTheme="majorHAnsi" w:hAnsiTheme="majorHAnsi"/>
          </w:rPr>
          <w:t>jriskegomez@tehamartpa.org</w:t>
        </w:r>
      </w:hyperlink>
      <w:r>
        <w:rPr>
          <w:rFonts w:asciiTheme="majorHAnsi" w:hAnsiTheme="majorHAnsi"/>
          <w:u w:val="single"/>
        </w:rPr>
        <w:t xml:space="preserve">, </w:t>
      </w:r>
      <w:hyperlink r:id="rId14" w:history="1">
        <w:r w:rsidRPr="00290B72">
          <w:rPr>
            <w:rStyle w:val="Hyperlink"/>
            <w:rFonts w:asciiTheme="majorHAnsi" w:hAnsiTheme="majorHAnsi"/>
          </w:rPr>
          <w:t>rrampey@tcpw.ca.gov</w:t>
        </w:r>
      </w:hyperlink>
      <w:r w:rsidRPr="00CD365C">
        <w:rPr>
          <w:rFonts w:asciiTheme="majorHAnsi" w:hAnsiTheme="majorHAnsi"/>
          <w:u w:val="single"/>
        </w:rPr>
        <w:t xml:space="preserve"> </w:t>
      </w:r>
      <w:r w:rsidRPr="00670F68">
        <w:rPr>
          <w:rFonts w:asciiTheme="majorHAnsi" w:hAnsiTheme="majorHAnsi"/>
        </w:rPr>
        <w:t xml:space="preserve">before </w:t>
      </w:r>
      <w:r w:rsidR="003966C5">
        <w:rPr>
          <w:rFonts w:asciiTheme="majorHAnsi" w:hAnsiTheme="majorHAnsi"/>
        </w:rPr>
        <w:t>4</w:t>
      </w:r>
      <w:r w:rsidRPr="00670F68">
        <w:rPr>
          <w:rFonts w:asciiTheme="majorHAnsi" w:hAnsiTheme="majorHAnsi"/>
        </w:rPr>
        <w:t xml:space="preserve">:00 PM on </w:t>
      </w:r>
      <w:r w:rsidRPr="00290B72">
        <w:rPr>
          <w:rFonts w:asciiTheme="majorHAnsi" w:hAnsiTheme="majorHAnsi"/>
        </w:rPr>
        <w:t>5/15/26.</w:t>
      </w:r>
    </w:p>
    <w:p w14:paraId="5367813C" w14:textId="77777777" w:rsidR="003966C5" w:rsidRDefault="003966C5" w:rsidP="003966C5">
      <w:pPr>
        <w:tabs>
          <w:tab w:val="right" w:leader="dot" w:pos="9000"/>
        </w:tabs>
        <w:rPr>
          <w:rFonts w:asciiTheme="majorHAnsi" w:hAnsiTheme="majorHAnsi"/>
        </w:rPr>
      </w:pPr>
    </w:p>
    <w:p w14:paraId="5603DCF0" w14:textId="39301254" w:rsidR="003966C5" w:rsidRPr="00670F68" w:rsidRDefault="003966C5" w:rsidP="003966C5">
      <w:pPr>
        <w:tabs>
          <w:tab w:val="right" w:leader="dot" w:pos="9000"/>
        </w:tabs>
        <w:rPr>
          <w:rFonts w:asciiTheme="majorHAnsi" w:hAnsiTheme="majorHAnsi"/>
        </w:rPr>
      </w:pPr>
      <w:r w:rsidRPr="003966C5">
        <w:rPr>
          <w:rFonts w:asciiTheme="majorHAnsi" w:hAnsiTheme="majorHAnsi"/>
          <w:b/>
          <w:bCs/>
        </w:rPr>
        <w:t>Anticipated Period of Performance:</w:t>
      </w:r>
      <w:r w:rsidRPr="003966C5">
        <w:rPr>
          <w:rFonts w:asciiTheme="majorHAnsi" w:hAnsiTheme="majorHAnsi"/>
        </w:rPr>
        <w:t xml:space="preserve"> Eighteen (18) months from Notice to Proceed, subject to adjustment as described in Section II.E of this RFP.</w:t>
      </w:r>
    </w:p>
    <w:p w14:paraId="7DD798A6" w14:textId="77777777" w:rsidR="008B5113" w:rsidRPr="00670F68" w:rsidRDefault="00024B4B" w:rsidP="003966C5">
      <w:pPr>
        <w:spacing w:after="200" w:line="276" w:lineRule="auto"/>
        <w:rPr>
          <w:rFonts w:asciiTheme="majorHAnsi" w:hAnsiTheme="majorHAnsi"/>
        </w:rPr>
      </w:pPr>
      <w:r w:rsidRPr="00670F68">
        <w:rPr>
          <w:rFonts w:asciiTheme="majorHAnsi" w:hAnsiTheme="majorHAnsi"/>
        </w:rPr>
        <w:br w:type="page"/>
      </w:r>
    </w:p>
    <w:p w14:paraId="107FC731" w14:textId="5C458361" w:rsidR="00660F9D" w:rsidRPr="00670F68" w:rsidRDefault="00AA2E75" w:rsidP="00DE5421">
      <w:pPr>
        <w:spacing w:after="200" w:line="276" w:lineRule="auto"/>
        <w:jc w:val="center"/>
        <w:rPr>
          <w:rFonts w:asciiTheme="majorHAnsi" w:hAnsiTheme="majorHAnsi" w:cs="Arial"/>
          <w:snapToGrid/>
        </w:rPr>
      </w:pPr>
      <w:r w:rsidRPr="00670F68">
        <w:rPr>
          <w:rFonts w:asciiTheme="majorHAnsi" w:hAnsiTheme="majorHAnsi"/>
          <w:b/>
        </w:rPr>
        <w:lastRenderedPageBreak/>
        <w:t>PROJECT DESCRIPTION</w:t>
      </w:r>
      <w:r w:rsidR="00CD370E" w:rsidRPr="00670F68">
        <w:rPr>
          <w:rFonts w:asciiTheme="majorHAnsi" w:hAnsiTheme="majorHAnsi"/>
          <w:b/>
        </w:rPr>
        <w:t xml:space="preserve"> AND BACKGROUND</w:t>
      </w:r>
    </w:p>
    <w:p w14:paraId="5DB0E6C3" w14:textId="77777777" w:rsidR="00DE5421" w:rsidRPr="00670F68" w:rsidRDefault="00DE5421" w:rsidP="00DE5421">
      <w:pPr>
        <w:spacing w:after="200" w:line="276" w:lineRule="auto"/>
        <w:jc w:val="center"/>
        <w:rPr>
          <w:rFonts w:asciiTheme="majorHAnsi" w:hAnsiTheme="majorHAnsi"/>
        </w:rPr>
      </w:pPr>
    </w:p>
    <w:p w14:paraId="06E67EF4" w14:textId="77777777" w:rsidR="00ED5BF7" w:rsidRPr="00ED5BF7" w:rsidRDefault="00ED5BF7" w:rsidP="00ED5BF7">
      <w:pPr>
        <w:rPr>
          <w:rFonts w:asciiTheme="majorHAnsi" w:hAnsiTheme="majorHAnsi" w:cs="Arial"/>
          <w:snapToGrid/>
        </w:rPr>
      </w:pPr>
      <w:r w:rsidRPr="00ED5BF7">
        <w:rPr>
          <w:rFonts w:asciiTheme="majorHAnsi" w:hAnsiTheme="majorHAnsi" w:cs="Arial"/>
          <w:snapToGrid/>
        </w:rPr>
        <w:t>This Request for Proposals (RFP) is a competitive solicitation based on respondent qualifications, service capabilities, and other factors used to select a consultant that best meets the needs of the Tehama County Transportation Commission (the "Commission" or "TCTC"). This RFP contains the instructions outlining the structure of proposals to be submitted, the materials to be included, and the requirements that must be met to be eligible for consideration.</w:t>
      </w:r>
    </w:p>
    <w:p w14:paraId="53A10399" w14:textId="784AFF51" w:rsidR="00ED5BF7" w:rsidRPr="00ED5BF7" w:rsidRDefault="00ED5BF7" w:rsidP="00ED5BF7">
      <w:pPr>
        <w:rPr>
          <w:rFonts w:asciiTheme="majorHAnsi" w:hAnsiTheme="majorHAnsi" w:cs="Arial"/>
          <w:snapToGrid/>
        </w:rPr>
      </w:pPr>
      <w:r w:rsidRPr="00ED5BF7">
        <w:rPr>
          <w:rFonts w:asciiTheme="majorHAnsi" w:hAnsiTheme="majorHAnsi" w:cs="Arial"/>
          <w:snapToGrid/>
        </w:rPr>
        <w:t xml:space="preserve">The Commission acknowledges its responsibility to prevent fatalities and serious injuries for all individuals using roadways within Tehama County, whether they are pedestrians, cyclists, drivers, transit riders, ride-share passengers, or travelers using any other mode of transportation. The Commission is committed to a comprehensive Safe System approach to transportation safety, applying this approach to investment decisions across the entire transportation network </w:t>
      </w:r>
      <w:r w:rsidR="00906EBB" w:rsidRPr="00ED5BF7">
        <w:rPr>
          <w:rFonts w:asciiTheme="majorHAnsi" w:hAnsiTheme="majorHAnsi" w:cs="Arial"/>
          <w:snapToGrid/>
        </w:rPr>
        <w:t>to</w:t>
      </w:r>
      <w:r w:rsidRPr="00ED5BF7">
        <w:rPr>
          <w:rFonts w:asciiTheme="majorHAnsi" w:hAnsiTheme="majorHAnsi" w:cs="Arial"/>
          <w:snapToGrid/>
        </w:rPr>
        <w:t xml:space="preserve"> create a safer system for all users, regardless of their chosen mode of travel.</w:t>
      </w:r>
    </w:p>
    <w:p w14:paraId="6313DDD2" w14:textId="77777777" w:rsidR="00ED5BF7" w:rsidRPr="00ED5BF7" w:rsidRDefault="00ED5BF7" w:rsidP="00ED5BF7">
      <w:pPr>
        <w:rPr>
          <w:rFonts w:asciiTheme="majorHAnsi" w:hAnsiTheme="majorHAnsi" w:cs="Arial"/>
          <w:snapToGrid/>
        </w:rPr>
      </w:pPr>
      <w:r w:rsidRPr="00ED5BF7">
        <w:rPr>
          <w:rFonts w:asciiTheme="majorHAnsi" w:hAnsiTheme="majorHAnsi" w:cs="Arial"/>
          <w:snapToGrid/>
        </w:rPr>
        <w:t>The objective of this project is to prepare a Comprehensive Safety Action Plan (the "Action Plan") that will establish the framework for improving roadway safety by significantly reducing — and ultimately eliminating — roadway fatalities and serious injuries in Tehama County. The Action Plan shall address safety for all roadway users, including those driving, walking, biking, and using other modes of travel. Through collaboration with local agencies, stakeholders, and community members, and guided by the Federal Highway Administration's (FHWA) Safe System Approach and the SS4A Action Plan Components, the selected consultant will work with the Commission to develop a comprehensive, data-driven, and community-supported Action Plan.</w:t>
      </w:r>
    </w:p>
    <w:p w14:paraId="13F67217" w14:textId="77777777" w:rsidR="00ED5BF7" w:rsidRDefault="00ED5BF7" w:rsidP="00ED5BF7">
      <w:pPr>
        <w:rPr>
          <w:rFonts w:asciiTheme="majorHAnsi" w:hAnsiTheme="majorHAnsi" w:cs="Arial"/>
          <w:snapToGrid/>
        </w:rPr>
      </w:pPr>
      <w:r w:rsidRPr="00ED5BF7">
        <w:rPr>
          <w:rFonts w:asciiTheme="majorHAnsi" w:hAnsiTheme="majorHAnsi" w:cs="Arial"/>
          <w:snapToGrid/>
        </w:rPr>
        <w:t xml:space="preserve">The Commission's goal is not only to develop a comprehensive and impactful SS4A Action Plan, but also to position Tehama County as a highly competitive candidate for future SS4A Implementation Grant funding, as well as other federal, state, and regional safety funding opportunities, once the Action Plan is adopted. The Commission recognizes that securing additional funding will be essential for the successful execution of the Action Plan and for achieving the County's long-term roadway safety objectives. In selecting a consultant, the Commission's primary objective is to identify a partner whose expertise and experience will strengthen Tehama County's competitiveness for future Implementation Grant funding and support the successful development and execution of the </w:t>
      </w:r>
      <w:r w:rsidRPr="00ED5BF7">
        <w:rPr>
          <w:rFonts w:asciiTheme="majorHAnsi" w:hAnsiTheme="majorHAnsi" w:cs="Arial"/>
          <w:b/>
          <w:bCs/>
          <w:snapToGrid/>
        </w:rPr>
        <w:t>Tehama County SS4A Action Plan.</w:t>
      </w:r>
    </w:p>
    <w:p w14:paraId="044E17BE" w14:textId="77777777" w:rsidR="00ED5BF7" w:rsidRDefault="00ED5BF7" w:rsidP="00ED5BF7">
      <w:pPr>
        <w:rPr>
          <w:rFonts w:asciiTheme="majorHAnsi" w:hAnsiTheme="majorHAnsi" w:cs="Arial"/>
          <w:snapToGrid/>
        </w:rPr>
      </w:pPr>
    </w:p>
    <w:p w14:paraId="45BD189F" w14:textId="77777777" w:rsidR="00ED5BF7" w:rsidRDefault="00ED5BF7" w:rsidP="00ED5BF7">
      <w:pPr>
        <w:rPr>
          <w:rFonts w:asciiTheme="majorHAnsi" w:hAnsiTheme="majorHAnsi" w:cs="Arial"/>
          <w:snapToGrid/>
        </w:rPr>
      </w:pPr>
    </w:p>
    <w:p w14:paraId="6706D52C" w14:textId="42F17FB5" w:rsidR="007F08ED" w:rsidRPr="007F08ED" w:rsidRDefault="007F08ED" w:rsidP="00ED5BF7">
      <w:pPr>
        <w:rPr>
          <w:rFonts w:asciiTheme="majorHAnsi" w:hAnsiTheme="majorHAnsi"/>
        </w:rPr>
      </w:pPr>
      <w:r w:rsidRPr="007F08ED">
        <w:rPr>
          <w:rFonts w:asciiTheme="majorHAnsi" w:hAnsiTheme="majorHAnsi"/>
          <w:b/>
          <w:bCs/>
        </w:rPr>
        <w:t>Federal Funding Provisions:</w:t>
      </w:r>
      <w:r w:rsidRPr="007F08ED">
        <w:rPr>
          <w:rFonts w:asciiTheme="majorHAnsi" w:hAnsiTheme="majorHAnsi"/>
        </w:rPr>
        <w:t xml:space="preserve"> This project is funded in whole or in part with federal funds from the U.S. Department of Transportation through the Federal Highway Administration (FHWA) under the Safe Streets and Roads for All (SS4A) program. Any contract resulting from this RFP is subject to all applicable federal laws and regulations, including but not limited to:</w:t>
      </w:r>
    </w:p>
    <w:p w14:paraId="0C2CE7A8" w14:textId="77777777" w:rsidR="007F08ED" w:rsidRPr="007F08ED" w:rsidRDefault="007F08ED" w:rsidP="007F08ED">
      <w:pPr>
        <w:numPr>
          <w:ilvl w:val="0"/>
          <w:numId w:val="63"/>
        </w:numPr>
        <w:rPr>
          <w:rFonts w:asciiTheme="majorHAnsi" w:hAnsiTheme="majorHAnsi"/>
        </w:rPr>
      </w:pPr>
      <w:r w:rsidRPr="007F08ED">
        <w:rPr>
          <w:rFonts w:asciiTheme="majorHAnsi" w:hAnsiTheme="majorHAnsi"/>
          <w:b/>
          <w:bCs/>
        </w:rPr>
        <w:t>2 CFR Part 200</w:t>
      </w:r>
      <w:r w:rsidRPr="007F08ED">
        <w:rPr>
          <w:rFonts w:asciiTheme="majorHAnsi" w:hAnsiTheme="majorHAnsi"/>
        </w:rPr>
        <w:t xml:space="preserve"> — Uniform Administrative Requirements, Cost Principles, and Audit Requirements for Federal Awards (specifically procurement standards at 2 CFR 200.318–200.327 and cost principles at 2 CFR 200 Subpart E)</w:t>
      </w:r>
    </w:p>
    <w:p w14:paraId="31BFD65F" w14:textId="77777777" w:rsidR="007F08ED" w:rsidRPr="007F08ED" w:rsidRDefault="007F08ED" w:rsidP="007F08ED">
      <w:pPr>
        <w:numPr>
          <w:ilvl w:val="0"/>
          <w:numId w:val="63"/>
        </w:numPr>
        <w:rPr>
          <w:rFonts w:asciiTheme="majorHAnsi" w:hAnsiTheme="majorHAnsi"/>
        </w:rPr>
      </w:pPr>
      <w:r w:rsidRPr="007F08ED">
        <w:rPr>
          <w:rFonts w:asciiTheme="majorHAnsi" w:hAnsiTheme="majorHAnsi"/>
          <w:b/>
          <w:bCs/>
        </w:rPr>
        <w:lastRenderedPageBreak/>
        <w:t>Build America, Buy America Act (BABA)</w:t>
      </w:r>
      <w:r w:rsidRPr="007F08ED">
        <w:rPr>
          <w:rFonts w:asciiTheme="majorHAnsi" w:hAnsiTheme="majorHAnsi"/>
        </w:rPr>
        <w:t xml:space="preserve"> provisions of the Infrastructure Investment and Jobs Act, to the extent applicable</w:t>
      </w:r>
    </w:p>
    <w:p w14:paraId="278FD926" w14:textId="77777777" w:rsidR="007F08ED" w:rsidRPr="007F08ED" w:rsidRDefault="007F08ED" w:rsidP="007F08ED">
      <w:pPr>
        <w:numPr>
          <w:ilvl w:val="0"/>
          <w:numId w:val="63"/>
        </w:numPr>
        <w:rPr>
          <w:rFonts w:asciiTheme="majorHAnsi" w:hAnsiTheme="majorHAnsi"/>
        </w:rPr>
      </w:pPr>
      <w:r w:rsidRPr="007F08ED">
        <w:rPr>
          <w:rFonts w:asciiTheme="majorHAnsi" w:hAnsiTheme="majorHAnsi"/>
          <w:b/>
          <w:bCs/>
        </w:rPr>
        <w:t>Title VI of the Civil Rights Act of 1964</w:t>
      </w:r>
      <w:r w:rsidRPr="007F08ED">
        <w:rPr>
          <w:rFonts w:asciiTheme="majorHAnsi" w:hAnsiTheme="majorHAnsi"/>
        </w:rPr>
        <w:t xml:space="preserve"> (42 U.S.C. § 2000d et seq.) and 49 CFR Part 21</w:t>
      </w:r>
    </w:p>
    <w:p w14:paraId="548A4A17" w14:textId="77777777" w:rsidR="007F08ED" w:rsidRPr="007F08ED" w:rsidRDefault="007F08ED" w:rsidP="007F08ED">
      <w:pPr>
        <w:numPr>
          <w:ilvl w:val="0"/>
          <w:numId w:val="63"/>
        </w:numPr>
        <w:rPr>
          <w:rFonts w:asciiTheme="majorHAnsi" w:hAnsiTheme="majorHAnsi"/>
        </w:rPr>
      </w:pPr>
      <w:r w:rsidRPr="007F08ED">
        <w:rPr>
          <w:rFonts w:asciiTheme="majorHAnsi" w:hAnsiTheme="majorHAnsi"/>
          <w:b/>
          <w:bCs/>
        </w:rPr>
        <w:t>49 CFR Part 26</w:t>
      </w:r>
      <w:r w:rsidRPr="007F08ED">
        <w:rPr>
          <w:rFonts w:asciiTheme="majorHAnsi" w:hAnsiTheme="majorHAnsi"/>
        </w:rPr>
        <w:t xml:space="preserve"> (Disadvantaged Business Enterprise Program), as currently administered by USDOT and Caltrans pursuant to the October 3, 2025 Interim Final Rule and any subsequent guidance</w:t>
      </w:r>
    </w:p>
    <w:p w14:paraId="5849328A" w14:textId="77777777" w:rsidR="007F08ED" w:rsidRPr="007F08ED" w:rsidRDefault="007F08ED" w:rsidP="007F08ED">
      <w:pPr>
        <w:numPr>
          <w:ilvl w:val="0"/>
          <w:numId w:val="63"/>
        </w:numPr>
        <w:rPr>
          <w:rFonts w:asciiTheme="majorHAnsi" w:hAnsiTheme="majorHAnsi"/>
        </w:rPr>
      </w:pPr>
      <w:r w:rsidRPr="007F08ED">
        <w:rPr>
          <w:rFonts w:asciiTheme="majorHAnsi" w:hAnsiTheme="majorHAnsi"/>
        </w:rPr>
        <w:t xml:space="preserve">The executed </w:t>
      </w:r>
      <w:r w:rsidRPr="007F08ED">
        <w:rPr>
          <w:rFonts w:asciiTheme="majorHAnsi" w:hAnsiTheme="majorHAnsi"/>
          <w:b/>
          <w:bCs/>
        </w:rPr>
        <w:t>SS4A Grant Agreement between FHWA and the Tehama County Transportation Commission</w:t>
      </w:r>
      <w:r w:rsidRPr="007F08ED">
        <w:rPr>
          <w:rFonts w:asciiTheme="majorHAnsi" w:hAnsiTheme="majorHAnsi"/>
        </w:rPr>
        <w:t xml:space="preserve"> (attached as Appendix C)</w:t>
      </w:r>
    </w:p>
    <w:p w14:paraId="2E5CB4CC" w14:textId="77777777" w:rsidR="007F08ED" w:rsidRDefault="007F08ED" w:rsidP="007F08ED">
      <w:pPr>
        <w:numPr>
          <w:ilvl w:val="0"/>
          <w:numId w:val="63"/>
        </w:numPr>
        <w:rPr>
          <w:rFonts w:asciiTheme="majorHAnsi" w:hAnsiTheme="majorHAnsi"/>
        </w:rPr>
      </w:pPr>
      <w:r w:rsidRPr="007F08ED">
        <w:rPr>
          <w:rFonts w:asciiTheme="majorHAnsi" w:hAnsiTheme="majorHAnsi"/>
        </w:rPr>
        <w:t>Caltrans Local Assistance Procedures Manual (LAPM), Chapter 10, where applicable</w:t>
      </w:r>
    </w:p>
    <w:p w14:paraId="0B649E8B" w14:textId="77777777" w:rsidR="007F08ED" w:rsidRDefault="007F08ED" w:rsidP="007F08ED">
      <w:pPr>
        <w:ind w:left="720"/>
        <w:rPr>
          <w:rFonts w:asciiTheme="majorHAnsi" w:hAnsiTheme="majorHAnsi"/>
        </w:rPr>
      </w:pPr>
    </w:p>
    <w:p w14:paraId="100CD8BB" w14:textId="77777777" w:rsidR="007F08ED" w:rsidRDefault="007F08ED" w:rsidP="007F08ED">
      <w:pPr>
        <w:ind w:left="720"/>
        <w:rPr>
          <w:rFonts w:asciiTheme="majorHAnsi" w:hAnsiTheme="majorHAnsi"/>
        </w:rPr>
      </w:pPr>
    </w:p>
    <w:p w14:paraId="00833EA7" w14:textId="77777777" w:rsidR="007F08ED" w:rsidRDefault="007F08ED" w:rsidP="007F08ED">
      <w:pPr>
        <w:ind w:left="720"/>
        <w:rPr>
          <w:rFonts w:asciiTheme="majorHAnsi" w:hAnsiTheme="majorHAnsi"/>
        </w:rPr>
      </w:pPr>
    </w:p>
    <w:p w14:paraId="1DE72C1E" w14:textId="77777777" w:rsidR="007F08ED" w:rsidRDefault="007F08ED" w:rsidP="007F08ED">
      <w:pPr>
        <w:ind w:left="720"/>
        <w:jc w:val="center"/>
        <w:rPr>
          <w:rFonts w:asciiTheme="majorHAnsi" w:hAnsiTheme="majorHAnsi"/>
        </w:rPr>
      </w:pPr>
    </w:p>
    <w:p w14:paraId="1B59393B" w14:textId="2D624260" w:rsidR="00024B4B" w:rsidRPr="007F08ED" w:rsidRDefault="00024B4B" w:rsidP="007F08ED">
      <w:pPr>
        <w:jc w:val="center"/>
        <w:rPr>
          <w:rFonts w:asciiTheme="majorHAnsi" w:hAnsiTheme="majorHAnsi"/>
        </w:rPr>
      </w:pPr>
      <w:r w:rsidRPr="007F08ED">
        <w:rPr>
          <w:rFonts w:asciiTheme="majorHAnsi" w:hAnsiTheme="majorHAnsi"/>
          <w:b/>
        </w:rPr>
        <w:t>SCOPE OF WORK</w:t>
      </w:r>
    </w:p>
    <w:p w14:paraId="48F5406F" w14:textId="1A5CE335" w:rsidR="00024B4B" w:rsidRPr="00670F68" w:rsidRDefault="00024B4B" w:rsidP="00024B4B">
      <w:pPr>
        <w:tabs>
          <w:tab w:val="right" w:leader="dot" w:pos="9000"/>
        </w:tabs>
        <w:rPr>
          <w:rFonts w:asciiTheme="majorHAnsi" w:hAnsiTheme="majorHAnsi"/>
          <w:b/>
        </w:rPr>
      </w:pPr>
      <w:r w:rsidRPr="00670F68">
        <w:rPr>
          <w:rFonts w:asciiTheme="majorHAnsi" w:hAnsiTheme="majorHAnsi"/>
          <w:b/>
        </w:rPr>
        <w:t>General:</w:t>
      </w:r>
      <w:r w:rsidR="00EE4D4B">
        <w:rPr>
          <w:rFonts w:asciiTheme="majorHAnsi" w:hAnsiTheme="majorHAnsi"/>
          <w:b/>
        </w:rPr>
        <w:t xml:space="preserve">      </w:t>
      </w:r>
    </w:p>
    <w:p w14:paraId="03B5BE6A" w14:textId="77777777" w:rsidR="00024B4B" w:rsidRPr="00670F68" w:rsidRDefault="00024B4B" w:rsidP="00024B4B">
      <w:pPr>
        <w:tabs>
          <w:tab w:val="right" w:leader="dot" w:pos="9000"/>
        </w:tabs>
        <w:rPr>
          <w:rFonts w:asciiTheme="majorHAnsi" w:hAnsiTheme="majorHAnsi"/>
        </w:rPr>
      </w:pPr>
    </w:p>
    <w:p w14:paraId="196A306C" w14:textId="3A007DB6" w:rsidR="00FB116E" w:rsidRPr="00CD365C" w:rsidRDefault="00971490" w:rsidP="002A23F9">
      <w:pPr>
        <w:rPr>
          <w:rFonts w:asciiTheme="majorHAnsi" w:hAnsiTheme="majorHAnsi"/>
          <w:b/>
        </w:rPr>
      </w:pPr>
      <w:r w:rsidRPr="00AB3DAC">
        <w:rPr>
          <w:rFonts w:asciiTheme="majorHAnsi" w:hAnsiTheme="majorHAnsi"/>
        </w:rPr>
        <w:t xml:space="preserve">The </w:t>
      </w:r>
      <w:r w:rsidR="00CD365C">
        <w:rPr>
          <w:rFonts w:asciiTheme="majorHAnsi" w:hAnsiTheme="majorHAnsi"/>
          <w:color w:val="000000"/>
        </w:rPr>
        <w:t>Commission</w:t>
      </w:r>
      <w:r w:rsidR="00F45C2F" w:rsidRPr="00AB3DAC">
        <w:rPr>
          <w:rFonts w:asciiTheme="majorHAnsi" w:hAnsiTheme="majorHAnsi"/>
          <w:color w:val="000000"/>
        </w:rPr>
        <w:t xml:space="preserve"> </w:t>
      </w:r>
      <w:r w:rsidR="00BE0AFD" w:rsidRPr="00670F68">
        <w:rPr>
          <w:rFonts w:asciiTheme="majorHAnsi" w:hAnsiTheme="majorHAnsi"/>
        </w:rPr>
        <w:t xml:space="preserve">is interested in contracting with </w:t>
      </w:r>
      <w:r w:rsidR="005827B7" w:rsidRPr="00670F68">
        <w:rPr>
          <w:rFonts w:asciiTheme="majorHAnsi" w:hAnsiTheme="majorHAnsi"/>
        </w:rPr>
        <w:t>a</w:t>
      </w:r>
      <w:r w:rsidR="00BE0AFD" w:rsidRPr="00670F68">
        <w:rPr>
          <w:rFonts w:asciiTheme="majorHAnsi" w:hAnsiTheme="majorHAnsi"/>
        </w:rPr>
        <w:t xml:space="preserve"> </w:t>
      </w:r>
      <w:r w:rsidR="007D1B80">
        <w:rPr>
          <w:rFonts w:asciiTheme="majorHAnsi" w:hAnsiTheme="majorHAnsi"/>
        </w:rPr>
        <w:t>PROPOSER</w:t>
      </w:r>
      <w:r w:rsidR="00BE0AFD" w:rsidRPr="00670F68">
        <w:rPr>
          <w:rFonts w:asciiTheme="majorHAnsi" w:hAnsiTheme="majorHAnsi"/>
        </w:rPr>
        <w:t xml:space="preserve"> that will </w:t>
      </w:r>
      <w:r w:rsidR="00D86B90" w:rsidRPr="00670F68">
        <w:rPr>
          <w:rFonts w:asciiTheme="majorHAnsi" w:hAnsiTheme="majorHAnsi"/>
        </w:rPr>
        <w:t xml:space="preserve">conduct and coordinate </w:t>
      </w:r>
      <w:r w:rsidR="00304AC2" w:rsidRPr="00670F68">
        <w:rPr>
          <w:rFonts w:asciiTheme="majorHAnsi" w:hAnsiTheme="majorHAnsi"/>
        </w:rPr>
        <w:t xml:space="preserve">specified </w:t>
      </w:r>
      <w:r w:rsidR="00D86B90" w:rsidRPr="00670F68">
        <w:rPr>
          <w:rFonts w:asciiTheme="majorHAnsi" w:hAnsiTheme="majorHAnsi"/>
        </w:rPr>
        <w:t>tasks</w:t>
      </w:r>
      <w:r w:rsidR="00CF71DB" w:rsidRPr="00670F68">
        <w:rPr>
          <w:rFonts w:asciiTheme="majorHAnsi" w:hAnsiTheme="majorHAnsi"/>
        </w:rPr>
        <w:t xml:space="preserve"> related to </w:t>
      </w:r>
      <w:r w:rsidR="00FB116E">
        <w:rPr>
          <w:rFonts w:asciiTheme="majorHAnsi" w:hAnsiTheme="majorHAnsi"/>
        </w:rPr>
        <w:t xml:space="preserve">the </w:t>
      </w:r>
      <w:r w:rsidR="00FB116E" w:rsidRPr="00CD365C">
        <w:rPr>
          <w:rFonts w:asciiTheme="majorHAnsi" w:hAnsiTheme="majorHAnsi"/>
          <w:b/>
        </w:rPr>
        <w:t>SS4A Comprehensive Safety Action Plan</w:t>
      </w:r>
      <w:r w:rsidR="00FB116E">
        <w:rPr>
          <w:rFonts w:asciiTheme="majorHAnsi" w:hAnsiTheme="majorHAnsi"/>
          <w:b/>
        </w:rPr>
        <w:t xml:space="preserve">. </w:t>
      </w:r>
    </w:p>
    <w:p w14:paraId="334C1765" w14:textId="19D05902" w:rsidR="00F45C2F" w:rsidRPr="00AB3DAC" w:rsidRDefault="00F45C2F" w:rsidP="00F044E2">
      <w:pPr>
        <w:tabs>
          <w:tab w:val="right" w:leader="dot" w:pos="9000"/>
        </w:tabs>
        <w:rPr>
          <w:rFonts w:asciiTheme="majorHAnsi" w:hAnsiTheme="majorHAnsi"/>
          <w:b/>
          <w:bCs/>
        </w:rPr>
      </w:pPr>
    </w:p>
    <w:p w14:paraId="554A1E94" w14:textId="64D8AD18" w:rsidR="00DF1CB1" w:rsidRPr="00670F68" w:rsidRDefault="00DF1CB1" w:rsidP="00F044E2">
      <w:pPr>
        <w:tabs>
          <w:tab w:val="right" w:leader="dot" w:pos="9000"/>
        </w:tabs>
        <w:rPr>
          <w:rFonts w:asciiTheme="majorHAnsi" w:hAnsiTheme="majorHAnsi"/>
        </w:rPr>
      </w:pPr>
      <w:r w:rsidRPr="00670F68">
        <w:rPr>
          <w:rFonts w:asciiTheme="majorHAnsi" w:hAnsiTheme="majorHAnsi"/>
        </w:rPr>
        <w:t xml:space="preserve">The work shall comply with the requirements of </w:t>
      </w:r>
      <w:r w:rsidR="001E42C6" w:rsidRPr="00AB3DAC">
        <w:rPr>
          <w:rFonts w:asciiTheme="majorHAnsi" w:hAnsiTheme="majorHAnsi"/>
        </w:rPr>
        <w:t>all</w:t>
      </w:r>
      <w:r w:rsidRPr="00670F68">
        <w:rPr>
          <w:rFonts w:asciiTheme="majorHAnsi" w:hAnsiTheme="majorHAnsi"/>
        </w:rPr>
        <w:t xml:space="preserve"> the following without limitation, and shall apply to this </w:t>
      </w:r>
      <w:r w:rsidR="00E80ED0" w:rsidRPr="00670F68">
        <w:rPr>
          <w:rFonts w:asciiTheme="majorHAnsi" w:hAnsiTheme="majorHAnsi"/>
        </w:rPr>
        <w:t>RFP</w:t>
      </w:r>
      <w:r w:rsidR="00BD2556" w:rsidRPr="00670F68">
        <w:rPr>
          <w:rFonts w:asciiTheme="majorHAnsi" w:hAnsiTheme="majorHAnsi"/>
        </w:rPr>
        <w:t xml:space="preserve"> </w:t>
      </w:r>
      <w:r w:rsidRPr="00670F68">
        <w:rPr>
          <w:rFonts w:asciiTheme="majorHAnsi" w:hAnsiTheme="majorHAnsi"/>
        </w:rPr>
        <w:t>and any subsequent contract as though incorporated herein by reference:</w:t>
      </w:r>
    </w:p>
    <w:p w14:paraId="1783EFEE" w14:textId="77777777" w:rsidR="00942C8B" w:rsidRPr="00670F68" w:rsidRDefault="00942C8B" w:rsidP="00F044E2">
      <w:pPr>
        <w:tabs>
          <w:tab w:val="right" w:leader="dot" w:pos="9000"/>
        </w:tabs>
        <w:rPr>
          <w:rFonts w:asciiTheme="majorHAnsi" w:hAnsiTheme="majorHAnsi"/>
        </w:rPr>
      </w:pPr>
    </w:p>
    <w:p w14:paraId="3B9840F9" w14:textId="77777777" w:rsidR="00DF1CB1" w:rsidRPr="00670F68" w:rsidRDefault="00DF1CB1" w:rsidP="00F044E2">
      <w:pPr>
        <w:pStyle w:val="ListParagraph"/>
        <w:numPr>
          <w:ilvl w:val="0"/>
          <w:numId w:val="17"/>
        </w:numPr>
        <w:tabs>
          <w:tab w:val="right" w:leader="dot" w:pos="9000"/>
        </w:tabs>
        <w:rPr>
          <w:rFonts w:asciiTheme="majorHAnsi" w:hAnsiTheme="majorHAnsi"/>
        </w:rPr>
      </w:pPr>
      <w:r w:rsidRPr="00670F68">
        <w:rPr>
          <w:rFonts w:asciiTheme="majorHAnsi" w:hAnsiTheme="majorHAnsi"/>
        </w:rPr>
        <w:t>Federal laws</w:t>
      </w:r>
    </w:p>
    <w:p w14:paraId="5B015D2F" w14:textId="77777777" w:rsidR="00DF1CB1" w:rsidRPr="00670F68" w:rsidRDefault="00DF1CB1" w:rsidP="00F044E2">
      <w:pPr>
        <w:pStyle w:val="ListParagraph"/>
        <w:numPr>
          <w:ilvl w:val="0"/>
          <w:numId w:val="17"/>
        </w:numPr>
        <w:tabs>
          <w:tab w:val="right" w:leader="dot" w:pos="9000"/>
        </w:tabs>
        <w:rPr>
          <w:rFonts w:asciiTheme="majorHAnsi" w:hAnsiTheme="majorHAnsi"/>
        </w:rPr>
      </w:pPr>
      <w:r w:rsidRPr="00670F68">
        <w:rPr>
          <w:rFonts w:asciiTheme="majorHAnsi" w:hAnsiTheme="majorHAnsi"/>
        </w:rPr>
        <w:t>State laws</w:t>
      </w:r>
    </w:p>
    <w:p w14:paraId="5E60ADE9" w14:textId="77777777" w:rsidR="00DF1CB1" w:rsidRPr="00670F68" w:rsidRDefault="00DF1CB1" w:rsidP="00F044E2">
      <w:pPr>
        <w:pStyle w:val="ListParagraph"/>
        <w:numPr>
          <w:ilvl w:val="0"/>
          <w:numId w:val="17"/>
        </w:numPr>
        <w:tabs>
          <w:tab w:val="right" w:leader="dot" w:pos="9000"/>
        </w:tabs>
        <w:rPr>
          <w:rFonts w:asciiTheme="majorHAnsi" w:hAnsiTheme="majorHAnsi"/>
        </w:rPr>
      </w:pPr>
      <w:r w:rsidRPr="00670F68">
        <w:rPr>
          <w:rFonts w:asciiTheme="majorHAnsi" w:hAnsiTheme="majorHAnsi"/>
        </w:rPr>
        <w:t>Local laws</w:t>
      </w:r>
    </w:p>
    <w:p w14:paraId="3DFCBBAE" w14:textId="77777777" w:rsidR="00DF1CB1" w:rsidRPr="00670F68" w:rsidRDefault="00DF1CB1" w:rsidP="00F044E2">
      <w:pPr>
        <w:pStyle w:val="ListParagraph"/>
        <w:numPr>
          <w:ilvl w:val="0"/>
          <w:numId w:val="17"/>
        </w:numPr>
        <w:tabs>
          <w:tab w:val="right" w:leader="dot" w:pos="9000"/>
        </w:tabs>
        <w:rPr>
          <w:rFonts w:asciiTheme="majorHAnsi" w:hAnsiTheme="majorHAnsi"/>
        </w:rPr>
      </w:pPr>
      <w:r w:rsidRPr="00670F68">
        <w:rPr>
          <w:rFonts w:asciiTheme="majorHAnsi" w:hAnsiTheme="majorHAnsi"/>
        </w:rPr>
        <w:t>Rules and regulations of governing utility districts</w:t>
      </w:r>
    </w:p>
    <w:p w14:paraId="23B8DB9A" w14:textId="77777777" w:rsidR="00DF1CB1" w:rsidRPr="00670F68" w:rsidRDefault="00DF1CB1" w:rsidP="00F044E2">
      <w:pPr>
        <w:pStyle w:val="ListParagraph"/>
        <w:numPr>
          <w:ilvl w:val="0"/>
          <w:numId w:val="17"/>
        </w:numPr>
        <w:tabs>
          <w:tab w:val="right" w:leader="dot" w:pos="9000"/>
        </w:tabs>
        <w:rPr>
          <w:rFonts w:asciiTheme="majorHAnsi" w:hAnsiTheme="majorHAnsi"/>
        </w:rPr>
      </w:pPr>
      <w:r w:rsidRPr="00670F68">
        <w:rPr>
          <w:rFonts w:asciiTheme="majorHAnsi" w:hAnsiTheme="majorHAnsi"/>
        </w:rPr>
        <w:t xml:space="preserve">Rules and regulations </w:t>
      </w:r>
      <w:r w:rsidR="00E367F7" w:rsidRPr="00670F68">
        <w:rPr>
          <w:rFonts w:asciiTheme="majorHAnsi" w:hAnsiTheme="majorHAnsi"/>
        </w:rPr>
        <w:t xml:space="preserve">of </w:t>
      </w:r>
      <w:r w:rsidRPr="00670F68">
        <w:rPr>
          <w:rFonts w:asciiTheme="majorHAnsi" w:hAnsiTheme="majorHAnsi"/>
        </w:rPr>
        <w:t>other authorities with jurisdiction over the procurement of products</w:t>
      </w:r>
    </w:p>
    <w:p w14:paraId="05CD712D" w14:textId="77777777" w:rsidR="000F1A3A" w:rsidRPr="00670F68" w:rsidRDefault="000F1A3A" w:rsidP="00F044E2">
      <w:pPr>
        <w:tabs>
          <w:tab w:val="right" w:leader="dot" w:pos="9000"/>
        </w:tabs>
        <w:rPr>
          <w:rFonts w:asciiTheme="majorHAnsi" w:hAnsiTheme="majorHAnsi"/>
        </w:rPr>
      </w:pPr>
    </w:p>
    <w:p w14:paraId="357B70BD" w14:textId="219CC72A" w:rsidR="000F1A3A" w:rsidRPr="00670F68" w:rsidRDefault="007D1B80" w:rsidP="00670F68">
      <w:pPr>
        <w:rPr>
          <w:rFonts w:asciiTheme="majorHAnsi" w:hAnsiTheme="majorHAnsi"/>
        </w:rPr>
      </w:pPr>
      <w:r>
        <w:rPr>
          <w:rFonts w:asciiTheme="majorHAnsi" w:hAnsiTheme="majorHAnsi"/>
        </w:rPr>
        <w:t>PROPOSER</w:t>
      </w:r>
      <w:r w:rsidR="000F1A3A" w:rsidRPr="00670F68">
        <w:rPr>
          <w:rFonts w:asciiTheme="majorHAnsi" w:hAnsiTheme="majorHAnsi"/>
        </w:rPr>
        <w:t xml:space="preserve"> shall comply with all insurance requirements of</w:t>
      </w:r>
      <w:r w:rsidR="00971490" w:rsidRPr="00AB3DAC">
        <w:rPr>
          <w:rFonts w:asciiTheme="majorHAnsi" w:hAnsiTheme="majorHAnsi"/>
        </w:rPr>
        <w:t xml:space="preserve"> th</w:t>
      </w:r>
      <w:r w:rsidR="00C8450C" w:rsidRPr="00AB3DAC">
        <w:rPr>
          <w:rFonts w:asciiTheme="majorHAnsi" w:hAnsiTheme="majorHAnsi"/>
        </w:rPr>
        <w:t xml:space="preserve">e </w:t>
      </w:r>
      <w:r w:rsidR="00E61F43" w:rsidRPr="00CD365C">
        <w:rPr>
          <w:rFonts w:asciiTheme="majorHAnsi" w:hAnsiTheme="majorHAnsi"/>
          <w:b/>
        </w:rPr>
        <w:t>SS4A Comprehensive Safety Action Plan</w:t>
      </w:r>
      <w:r w:rsidR="00E61F43" w:rsidRPr="00670F68">
        <w:rPr>
          <w:rFonts w:asciiTheme="majorHAnsi" w:hAnsiTheme="majorHAnsi"/>
        </w:rPr>
        <w:t xml:space="preserve"> </w:t>
      </w:r>
      <w:r w:rsidR="000F1A3A" w:rsidRPr="00670F68">
        <w:rPr>
          <w:rFonts w:asciiTheme="majorHAnsi" w:hAnsiTheme="majorHAnsi"/>
        </w:rPr>
        <w:t xml:space="preserve">included in </w:t>
      </w:r>
      <w:r w:rsidR="00077F7A" w:rsidRPr="00670F68">
        <w:rPr>
          <w:rFonts w:asciiTheme="majorHAnsi" w:hAnsiTheme="majorHAnsi"/>
        </w:rPr>
        <w:t xml:space="preserve">the sample </w:t>
      </w:r>
      <w:r w:rsidR="00EF3D2A">
        <w:rPr>
          <w:rFonts w:asciiTheme="majorHAnsi" w:hAnsiTheme="majorHAnsi"/>
        </w:rPr>
        <w:t xml:space="preserve">agreement </w:t>
      </w:r>
      <w:r w:rsidR="00077F7A" w:rsidRPr="00670F68">
        <w:rPr>
          <w:rFonts w:asciiTheme="majorHAnsi" w:hAnsiTheme="majorHAnsi"/>
        </w:rPr>
        <w:t xml:space="preserve">in </w:t>
      </w:r>
      <w:r w:rsidR="000008C4" w:rsidRPr="00670F68">
        <w:rPr>
          <w:rFonts w:asciiTheme="majorHAnsi" w:hAnsiTheme="majorHAnsi"/>
        </w:rPr>
        <w:t xml:space="preserve">Attachment </w:t>
      </w:r>
      <w:r w:rsidR="00EF3D2A">
        <w:rPr>
          <w:rFonts w:asciiTheme="majorHAnsi" w:hAnsiTheme="majorHAnsi"/>
        </w:rPr>
        <w:t>C</w:t>
      </w:r>
      <w:r w:rsidR="00077F7A" w:rsidRPr="00670F68">
        <w:rPr>
          <w:rFonts w:asciiTheme="majorHAnsi" w:hAnsiTheme="majorHAnsi"/>
        </w:rPr>
        <w:t>.</w:t>
      </w:r>
    </w:p>
    <w:p w14:paraId="5BA0CEA3" w14:textId="77777777" w:rsidR="00942C8B" w:rsidRPr="00670F68" w:rsidRDefault="00942C8B" w:rsidP="00F044E2">
      <w:pPr>
        <w:tabs>
          <w:tab w:val="right" w:leader="dot" w:pos="9000"/>
        </w:tabs>
        <w:rPr>
          <w:rFonts w:asciiTheme="majorHAnsi" w:hAnsiTheme="majorHAnsi"/>
        </w:rPr>
      </w:pPr>
    </w:p>
    <w:p w14:paraId="43242419" w14:textId="77777777" w:rsidR="00F000D2" w:rsidRPr="00670F68" w:rsidRDefault="00F000D2" w:rsidP="00F044E2">
      <w:pPr>
        <w:tabs>
          <w:tab w:val="right" w:leader="dot" w:pos="9000"/>
        </w:tabs>
        <w:rPr>
          <w:rFonts w:asciiTheme="majorHAnsi" w:hAnsiTheme="majorHAnsi"/>
          <w:b/>
        </w:rPr>
      </w:pPr>
      <w:r w:rsidRPr="00670F68">
        <w:rPr>
          <w:rFonts w:asciiTheme="majorHAnsi" w:hAnsiTheme="majorHAnsi"/>
          <w:b/>
        </w:rPr>
        <w:t>Services to be Provided:</w:t>
      </w:r>
    </w:p>
    <w:p w14:paraId="5C89A79A" w14:textId="77777777" w:rsidR="00024B4B" w:rsidRPr="00670F68" w:rsidRDefault="00024B4B" w:rsidP="00F044E2">
      <w:pPr>
        <w:tabs>
          <w:tab w:val="right" w:leader="dot" w:pos="9000"/>
        </w:tabs>
        <w:rPr>
          <w:rFonts w:asciiTheme="majorHAnsi" w:hAnsiTheme="majorHAnsi"/>
        </w:rPr>
      </w:pPr>
    </w:p>
    <w:p w14:paraId="004DDC3E" w14:textId="5FE5F609" w:rsidR="00E74C99" w:rsidRPr="00AB3DAC" w:rsidRDefault="007D1B80" w:rsidP="00F044E2">
      <w:pPr>
        <w:rPr>
          <w:rFonts w:asciiTheme="majorHAnsi" w:hAnsiTheme="majorHAnsi"/>
          <w:b/>
          <w:highlight w:val="yellow"/>
        </w:rPr>
      </w:pPr>
      <w:r>
        <w:rPr>
          <w:rFonts w:asciiTheme="majorHAnsi" w:hAnsiTheme="majorHAnsi"/>
        </w:rPr>
        <w:t>PROPOSER</w:t>
      </w:r>
      <w:r w:rsidR="00D86B90" w:rsidRPr="00670F68">
        <w:rPr>
          <w:rFonts w:asciiTheme="majorHAnsi" w:hAnsiTheme="majorHAnsi"/>
        </w:rPr>
        <w:t xml:space="preserve"> </w:t>
      </w:r>
      <w:r w:rsidR="0091513C" w:rsidRPr="00670F68">
        <w:rPr>
          <w:rFonts w:asciiTheme="majorHAnsi" w:hAnsiTheme="majorHAnsi"/>
        </w:rPr>
        <w:t>selected shall pr</w:t>
      </w:r>
      <w:r w:rsidR="00D20F02" w:rsidRPr="00670F68">
        <w:rPr>
          <w:rFonts w:asciiTheme="majorHAnsi" w:hAnsiTheme="majorHAnsi"/>
        </w:rPr>
        <w:t>o</w:t>
      </w:r>
      <w:r w:rsidR="0039541B" w:rsidRPr="00670F68">
        <w:rPr>
          <w:rFonts w:asciiTheme="majorHAnsi" w:hAnsiTheme="majorHAnsi"/>
        </w:rPr>
        <w:t xml:space="preserve">vide </w:t>
      </w:r>
      <w:r w:rsidR="00360C24" w:rsidRPr="00670F68">
        <w:rPr>
          <w:rFonts w:asciiTheme="majorHAnsi" w:hAnsiTheme="majorHAnsi"/>
        </w:rPr>
        <w:t xml:space="preserve">all </w:t>
      </w:r>
      <w:r w:rsidR="00AE5628" w:rsidRPr="00670F68">
        <w:rPr>
          <w:rFonts w:asciiTheme="majorHAnsi" w:hAnsiTheme="majorHAnsi"/>
        </w:rPr>
        <w:t xml:space="preserve">services </w:t>
      </w:r>
      <w:r w:rsidR="00CF71DB" w:rsidRPr="00670F68">
        <w:rPr>
          <w:rFonts w:asciiTheme="majorHAnsi" w:hAnsiTheme="majorHAnsi"/>
        </w:rPr>
        <w:t>to complete</w:t>
      </w:r>
      <w:r w:rsidR="00E61F43" w:rsidRPr="00E61F43">
        <w:rPr>
          <w:rFonts w:asciiTheme="majorHAnsi" w:hAnsiTheme="majorHAnsi"/>
          <w:b/>
        </w:rPr>
        <w:t xml:space="preserve"> </w:t>
      </w:r>
      <w:r w:rsidR="00E61F43" w:rsidRPr="00CD365C">
        <w:rPr>
          <w:rFonts w:asciiTheme="majorHAnsi" w:hAnsiTheme="majorHAnsi"/>
          <w:b/>
        </w:rPr>
        <w:t>SS4A Comprehensive Safety Action Plan</w:t>
      </w:r>
      <w:r w:rsidR="00E61F43">
        <w:rPr>
          <w:rFonts w:asciiTheme="majorHAnsi" w:hAnsiTheme="majorHAnsi"/>
          <w:b/>
        </w:rPr>
        <w:t xml:space="preserve">. </w:t>
      </w:r>
    </w:p>
    <w:p w14:paraId="2D242FEF" w14:textId="77777777" w:rsidR="0039541B" w:rsidRPr="00670F68" w:rsidRDefault="0039541B" w:rsidP="00F044E2">
      <w:pPr>
        <w:tabs>
          <w:tab w:val="right" w:leader="dot" w:pos="9000"/>
        </w:tabs>
        <w:rPr>
          <w:rFonts w:asciiTheme="majorHAnsi" w:hAnsiTheme="majorHAnsi"/>
        </w:rPr>
      </w:pPr>
    </w:p>
    <w:p w14:paraId="604FBDD0" w14:textId="2861E08D" w:rsidR="0039541B" w:rsidRPr="00670F68" w:rsidRDefault="0039541B" w:rsidP="00F044E2">
      <w:pPr>
        <w:tabs>
          <w:tab w:val="right" w:leader="dot" w:pos="9000"/>
        </w:tabs>
        <w:rPr>
          <w:rFonts w:asciiTheme="majorHAnsi" w:hAnsiTheme="majorHAnsi"/>
        </w:rPr>
      </w:pPr>
      <w:r w:rsidRPr="00670F68">
        <w:rPr>
          <w:rFonts w:asciiTheme="majorHAnsi" w:hAnsiTheme="majorHAnsi"/>
        </w:rPr>
        <w:t xml:space="preserve">Specifically, </w:t>
      </w:r>
      <w:r w:rsidR="007D1B80">
        <w:rPr>
          <w:rFonts w:asciiTheme="majorHAnsi" w:hAnsiTheme="majorHAnsi"/>
        </w:rPr>
        <w:t>PROPOSER</w:t>
      </w:r>
      <w:r w:rsidRPr="00670F68">
        <w:rPr>
          <w:rFonts w:asciiTheme="majorHAnsi" w:hAnsiTheme="majorHAnsi"/>
        </w:rPr>
        <w:t xml:space="preserve"> will be required to complete the following tasks:</w:t>
      </w:r>
    </w:p>
    <w:p w14:paraId="6E31B42B" w14:textId="77777777" w:rsidR="00E5791A" w:rsidRPr="00670F68" w:rsidRDefault="00E5791A" w:rsidP="00F044E2">
      <w:pPr>
        <w:tabs>
          <w:tab w:val="right" w:leader="dot" w:pos="9000"/>
        </w:tabs>
        <w:rPr>
          <w:rFonts w:asciiTheme="majorHAnsi" w:hAnsiTheme="majorHAnsi"/>
        </w:rPr>
      </w:pPr>
    </w:p>
    <w:p w14:paraId="3B30F43F" w14:textId="4CE4BAAA" w:rsidR="00E61F43" w:rsidRPr="00E61F43" w:rsidRDefault="00CF71DB" w:rsidP="00E61F43">
      <w:pPr>
        <w:numPr>
          <w:ilvl w:val="0"/>
          <w:numId w:val="38"/>
        </w:numPr>
        <w:tabs>
          <w:tab w:val="right" w:leader="dot" w:pos="9000"/>
        </w:tabs>
        <w:rPr>
          <w:rFonts w:asciiTheme="majorHAnsi" w:hAnsiTheme="majorHAnsi"/>
        </w:rPr>
      </w:pPr>
      <w:r w:rsidRPr="00E61F43">
        <w:rPr>
          <w:rFonts w:asciiTheme="majorHAnsi" w:hAnsiTheme="majorHAnsi"/>
          <w:b/>
        </w:rPr>
        <w:t xml:space="preserve">Project </w:t>
      </w:r>
      <w:r w:rsidR="0007103F" w:rsidRPr="00E61F43">
        <w:rPr>
          <w:rFonts w:asciiTheme="majorHAnsi" w:hAnsiTheme="majorHAnsi"/>
          <w:b/>
        </w:rPr>
        <w:t>Development</w:t>
      </w:r>
      <w:r w:rsidR="00201967" w:rsidRPr="00E61F43">
        <w:rPr>
          <w:rFonts w:asciiTheme="majorHAnsi" w:hAnsiTheme="majorHAnsi"/>
          <w:b/>
        </w:rPr>
        <w:t xml:space="preserve"> </w:t>
      </w:r>
      <w:r w:rsidR="00E61F43" w:rsidRPr="00E61F43">
        <w:rPr>
          <w:rFonts w:asciiTheme="majorHAnsi" w:hAnsiTheme="majorHAnsi"/>
          <w:bCs/>
        </w:rPr>
        <w:t xml:space="preserve">– Tehama is seeking a consultant that can not only provide the typical qualifications necessary in the development of the Comprehensive Safety Action Plan but also can provide a proactive approach, vision, innovation, and collaboration in examining and proposing strategies and recommendations that will ensure a reduction of fatal and serious crashes for all roadway users.  Tehama is </w:t>
      </w:r>
      <w:r w:rsidR="00E61F43" w:rsidRPr="00E61F43">
        <w:rPr>
          <w:rFonts w:asciiTheme="majorHAnsi" w:hAnsiTheme="majorHAnsi"/>
          <w:bCs/>
        </w:rPr>
        <w:lastRenderedPageBreak/>
        <w:t xml:space="preserve">seeking the services of a Consultant with local understanding and presence to develop a Safe Streets Action Plan to advance the region’s goal of </w:t>
      </w:r>
      <w:r w:rsidR="00BF6172">
        <w:rPr>
          <w:rFonts w:asciiTheme="majorHAnsi" w:hAnsiTheme="majorHAnsi"/>
          <w:bCs/>
        </w:rPr>
        <w:t xml:space="preserve">significantly reducing roadway fatalities and serious injuries </w:t>
      </w:r>
      <w:r w:rsidR="00E61F43" w:rsidRPr="00E61F43">
        <w:rPr>
          <w:rFonts w:asciiTheme="majorHAnsi" w:hAnsiTheme="majorHAnsi"/>
          <w:bCs/>
        </w:rPr>
        <w:t>by the year 2028 and a 50% reduction in crashes resulting in injury along arterials, collectors and local roads in the Tehama</w:t>
      </w:r>
      <w:r w:rsidR="00BF6172">
        <w:rPr>
          <w:rFonts w:asciiTheme="majorHAnsi" w:hAnsiTheme="majorHAnsi"/>
          <w:bCs/>
        </w:rPr>
        <w:t xml:space="preserve"> County Region. </w:t>
      </w:r>
    </w:p>
    <w:p w14:paraId="03C8860A" w14:textId="77777777" w:rsidR="00E61F43" w:rsidRPr="00E61F43" w:rsidRDefault="00E61F43" w:rsidP="00E61F43">
      <w:pPr>
        <w:tabs>
          <w:tab w:val="right" w:leader="dot" w:pos="9000"/>
        </w:tabs>
        <w:ind w:left="720"/>
        <w:rPr>
          <w:rFonts w:asciiTheme="majorHAnsi" w:hAnsiTheme="majorHAnsi"/>
        </w:rPr>
      </w:pPr>
    </w:p>
    <w:p w14:paraId="3535C646" w14:textId="77777777" w:rsidR="00E61F43" w:rsidRDefault="00E61F43" w:rsidP="00E61F43">
      <w:pPr>
        <w:tabs>
          <w:tab w:val="right" w:leader="dot" w:pos="9000"/>
        </w:tabs>
        <w:ind w:left="720"/>
        <w:rPr>
          <w:rFonts w:asciiTheme="majorHAnsi" w:hAnsiTheme="majorHAnsi"/>
        </w:rPr>
      </w:pPr>
      <w:r w:rsidRPr="00E61F43">
        <w:rPr>
          <w:rFonts w:asciiTheme="majorHAnsi" w:hAnsiTheme="majorHAnsi"/>
        </w:rPr>
        <w:t xml:space="preserve">The scope of the Action Plan Project will encompass the entire </w:t>
      </w:r>
      <w:r>
        <w:rPr>
          <w:rFonts w:asciiTheme="majorHAnsi" w:hAnsiTheme="majorHAnsi"/>
        </w:rPr>
        <w:t>County</w:t>
      </w:r>
      <w:r w:rsidRPr="00E61F43">
        <w:rPr>
          <w:rFonts w:asciiTheme="majorHAnsi" w:hAnsiTheme="majorHAnsi"/>
        </w:rPr>
        <w:t>, with emphasis areas identified through detailed crash analysis and public engagement.  The focus will be placed on the</w:t>
      </w:r>
      <w:r>
        <w:rPr>
          <w:rFonts w:asciiTheme="majorHAnsi" w:hAnsiTheme="majorHAnsi"/>
        </w:rPr>
        <w:t xml:space="preserve"> local</w:t>
      </w:r>
      <w:r w:rsidRPr="00E61F43">
        <w:rPr>
          <w:rFonts w:asciiTheme="majorHAnsi" w:hAnsiTheme="majorHAnsi"/>
        </w:rPr>
        <w:t xml:space="preserve"> </w:t>
      </w:r>
      <w:r>
        <w:rPr>
          <w:rFonts w:asciiTheme="majorHAnsi" w:hAnsiTheme="majorHAnsi"/>
        </w:rPr>
        <w:t>rural roads and 99W/Intersate-5 corridor</w:t>
      </w:r>
      <w:r w:rsidRPr="00E61F43">
        <w:rPr>
          <w:rFonts w:asciiTheme="majorHAnsi" w:hAnsiTheme="majorHAnsi"/>
        </w:rPr>
        <w:t xml:space="preserve">, the primary north-south artery in the </w:t>
      </w:r>
      <w:r>
        <w:rPr>
          <w:rFonts w:asciiTheme="majorHAnsi" w:hAnsiTheme="majorHAnsi"/>
        </w:rPr>
        <w:t xml:space="preserve">region. </w:t>
      </w:r>
      <w:r w:rsidRPr="00E61F43">
        <w:rPr>
          <w:rFonts w:asciiTheme="majorHAnsi" w:hAnsiTheme="majorHAnsi"/>
        </w:rPr>
        <w:t xml:space="preserve">  Solutions and countermeasures will be developed to include, but not be limited to, geometric and operational improvements, nonmotorized accommodations, access management, and enforcement strategies that result in a comprehensive plan to achieve safety objectives. Progress will be reported to the public via printed and digital means and incorporated into an on-going safety awareness program based on the recommendations within the Action Plan. The project will evaluate the following elements:</w:t>
      </w:r>
    </w:p>
    <w:p w14:paraId="629514FB" w14:textId="77777777" w:rsidR="00E61F43" w:rsidRDefault="00E61F43" w:rsidP="00E61F43">
      <w:pPr>
        <w:pStyle w:val="ListParagraph"/>
        <w:numPr>
          <w:ilvl w:val="1"/>
          <w:numId w:val="38"/>
        </w:numPr>
        <w:tabs>
          <w:tab w:val="right" w:leader="dot" w:pos="9000"/>
        </w:tabs>
        <w:rPr>
          <w:rFonts w:asciiTheme="majorHAnsi" w:hAnsiTheme="majorHAnsi"/>
        </w:rPr>
      </w:pPr>
      <w:r w:rsidRPr="00E61F43">
        <w:rPr>
          <w:rFonts w:asciiTheme="majorHAnsi" w:hAnsiTheme="majorHAnsi"/>
        </w:rPr>
        <w:t xml:space="preserve">Road/Corridor Safety Improvements </w:t>
      </w:r>
    </w:p>
    <w:p w14:paraId="490B0370" w14:textId="77777777" w:rsidR="00E61F43" w:rsidRDefault="00E61F43" w:rsidP="00E61F43">
      <w:pPr>
        <w:pStyle w:val="ListParagraph"/>
        <w:numPr>
          <w:ilvl w:val="1"/>
          <w:numId w:val="38"/>
        </w:numPr>
        <w:tabs>
          <w:tab w:val="right" w:leader="dot" w:pos="9000"/>
        </w:tabs>
        <w:rPr>
          <w:rFonts w:asciiTheme="majorHAnsi" w:hAnsiTheme="majorHAnsi"/>
        </w:rPr>
      </w:pPr>
      <w:r w:rsidRPr="00E61F43">
        <w:rPr>
          <w:rFonts w:asciiTheme="majorHAnsi" w:hAnsiTheme="majorHAnsi"/>
        </w:rPr>
        <w:t xml:space="preserve">Traffic Operations Improvements </w:t>
      </w:r>
    </w:p>
    <w:p w14:paraId="39A59338" w14:textId="77777777" w:rsidR="00E61F43" w:rsidRDefault="00E61F43" w:rsidP="00E61F43">
      <w:pPr>
        <w:pStyle w:val="ListParagraph"/>
        <w:numPr>
          <w:ilvl w:val="1"/>
          <w:numId w:val="38"/>
        </w:numPr>
        <w:tabs>
          <w:tab w:val="right" w:leader="dot" w:pos="9000"/>
        </w:tabs>
        <w:rPr>
          <w:rFonts w:asciiTheme="majorHAnsi" w:hAnsiTheme="majorHAnsi"/>
        </w:rPr>
      </w:pPr>
      <w:r w:rsidRPr="00E61F43">
        <w:rPr>
          <w:rFonts w:asciiTheme="majorHAnsi" w:hAnsiTheme="majorHAnsi"/>
        </w:rPr>
        <w:t xml:space="preserve">Public Education </w:t>
      </w:r>
    </w:p>
    <w:p w14:paraId="4E371545" w14:textId="5FA43582" w:rsidR="00E61F43" w:rsidRDefault="00E61F43" w:rsidP="00E61F43">
      <w:pPr>
        <w:pStyle w:val="ListParagraph"/>
        <w:numPr>
          <w:ilvl w:val="1"/>
          <w:numId w:val="38"/>
        </w:numPr>
        <w:tabs>
          <w:tab w:val="right" w:leader="dot" w:pos="9000"/>
        </w:tabs>
        <w:rPr>
          <w:rFonts w:asciiTheme="majorHAnsi" w:hAnsiTheme="majorHAnsi"/>
        </w:rPr>
      </w:pPr>
      <w:r w:rsidRPr="00E61F43">
        <w:rPr>
          <w:rFonts w:asciiTheme="majorHAnsi" w:hAnsiTheme="majorHAnsi"/>
        </w:rPr>
        <w:t>Traffic Enforcement</w:t>
      </w:r>
    </w:p>
    <w:p w14:paraId="45DD3560" w14:textId="77777777" w:rsidR="00E61F43" w:rsidRDefault="00E61F43" w:rsidP="00E61F43">
      <w:pPr>
        <w:tabs>
          <w:tab w:val="right" w:leader="dot" w:pos="9000"/>
        </w:tabs>
        <w:rPr>
          <w:rFonts w:asciiTheme="majorHAnsi" w:hAnsiTheme="majorHAnsi"/>
        </w:rPr>
      </w:pPr>
    </w:p>
    <w:p w14:paraId="1E78C495" w14:textId="429B1E1C" w:rsidR="00E61F43" w:rsidRDefault="00E61F43" w:rsidP="00E61F43">
      <w:pPr>
        <w:tabs>
          <w:tab w:val="right" w:leader="dot" w:pos="9000"/>
        </w:tabs>
        <w:rPr>
          <w:rFonts w:asciiTheme="majorHAnsi" w:hAnsiTheme="majorHAnsi"/>
        </w:rPr>
      </w:pPr>
      <w:r w:rsidRPr="00BF6172">
        <w:rPr>
          <w:rFonts w:asciiTheme="majorHAnsi" w:hAnsiTheme="majorHAnsi"/>
        </w:rPr>
        <w:t>Outlined below is the scope of services that will guide the development of the Comprehensive Safety Action Plan. Firms submitting proposals are not discouraged from revising and improving the request for proposal, including the project tasks, and from making subsequent modifications of the proposal before submission as a demonstration of their expertise and competence with quality consulting work and procedures. The final Comprehensive Safety Action Plan must, at minimum, include the following components:</w:t>
      </w:r>
    </w:p>
    <w:p w14:paraId="12E996A2" w14:textId="77777777" w:rsidR="00E61F43" w:rsidRDefault="00E61F43" w:rsidP="00E61F43">
      <w:pPr>
        <w:tabs>
          <w:tab w:val="right" w:leader="dot" w:pos="9000"/>
        </w:tabs>
        <w:rPr>
          <w:rFonts w:asciiTheme="majorHAnsi" w:hAnsiTheme="majorHAnsi"/>
        </w:rPr>
      </w:pPr>
    </w:p>
    <w:p w14:paraId="2C14B45E" w14:textId="35518ECB" w:rsidR="00E61F43" w:rsidRDefault="00E61F43" w:rsidP="00E61F43">
      <w:pPr>
        <w:pStyle w:val="ListParagraph"/>
        <w:numPr>
          <w:ilvl w:val="0"/>
          <w:numId w:val="38"/>
        </w:numPr>
        <w:tabs>
          <w:tab w:val="right" w:leader="dot" w:pos="9000"/>
        </w:tabs>
        <w:rPr>
          <w:rFonts w:asciiTheme="majorHAnsi" w:hAnsiTheme="majorHAnsi"/>
        </w:rPr>
      </w:pPr>
      <w:r w:rsidRPr="00E61F43">
        <w:rPr>
          <w:rFonts w:asciiTheme="majorHAnsi" w:hAnsiTheme="majorHAnsi"/>
          <w:b/>
          <w:bCs/>
        </w:rPr>
        <w:t>Leadership Commitment and Goal Setting.</w:t>
      </w:r>
      <w:r w:rsidRPr="00E61F43">
        <w:rPr>
          <w:rFonts w:asciiTheme="majorHAnsi" w:hAnsiTheme="majorHAnsi"/>
        </w:rPr>
        <w:t xml:space="preserve"> The final presentation to the </w:t>
      </w:r>
      <w:r>
        <w:rPr>
          <w:rFonts w:asciiTheme="majorHAnsi" w:hAnsiTheme="majorHAnsi"/>
        </w:rPr>
        <w:t xml:space="preserve">Transportation Commission </w:t>
      </w:r>
      <w:r w:rsidRPr="00E61F43">
        <w:rPr>
          <w:rFonts w:asciiTheme="majorHAnsi" w:hAnsiTheme="majorHAnsi"/>
        </w:rPr>
        <w:t xml:space="preserve">should include a recommendation of one, or both, of the following: (1) the target date for achieving zero roadway fatalities and series injuries, OR (2) an ambitious percentage reduction of roadway fatalities and serious injuries by a specific date with an eventual goal of eliminating roadway fatalities and series injuries. </w:t>
      </w:r>
    </w:p>
    <w:p w14:paraId="20349BC4" w14:textId="6B6AD5FD" w:rsidR="00E61F43" w:rsidRDefault="00E61F43" w:rsidP="00E61F43">
      <w:pPr>
        <w:pStyle w:val="ListParagraph"/>
        <w:numPr>
          <w:ilvl w:val="0"/>
          <w:numId w:val="38"/>
        </w:numPr>
        <w:tabs>
          <w:tab w:val="right" w:leader="dot" w:pos="9000"/>
        </w:tabs>
        <w:rPr>
          <w:rFonts w:asciiTheme="majorHAnsi" w:hAnsiTheme="majorHAnsi"/>
        </w:rPr>
      </w:pPr>
      <w:r w:rsidRPr="00E61F43">
        <w:rPr>
          <w:rFonts w:asciiTheme="majorHAnsi" w:hAnsiTheme="majorHAnsi"/>
          <w:b/>
          <w:bCs/>
        </w:rPr>
        <w:t>Planning Structure.</w:t>
      </w:r>
      <w:r w:rsidRPr="00E61F43">
        <w:rPr>
          <w:rFonts w:asciiTheme="majorHAnsi" w:hAnsiTheme="majorHAnsi"/>
        </w:rPr>
        <w:t xml:space="preserve"> The Action Plan must include determinations of the planning structure for the implementation group charged with oversight of the Action Plan development, implementation, and monitoring. </w:t>
      </w:r>
    </w:p>
    <w:p w14:paraId="003699B3" w14:textId="09A9ECE2" w:rsidR="00E61F43" w:rsidRDefault="00E61F43" w:rsidP="00E61F43">
      <w:pPr>
        <w:pStyle w:val="ListParagraph"/>
        <w:numPr>
          <w:ilvl w:val="0"/>
          <w:numId w:val="38"/>
        </w:numPr>
        <w:tabs>
          <w:tab w:val="right" w:leader="dot" w:pos="9000"/>
        </w:tabs>
        <w:rPr>
          <w:rFonts w:asciiTheme="majorHAnsi" w:hAnsiTheme="majorHAnsi"/>
        </w:rPr>
      </w:pPr>
      <w:r w:rsidRPr="00E61F43">
        <w:rPr>
          <w:rFonts w:asciiTheme="majorHAnsi" w:hAnsiTheme="majorHAnsi"/>
          <w:b/>
          <w:bCs/>
        </w:rPr>
        <w:t>Safety Analysis.</w:t>
      </w:r>
      <w:r w:rsidRPr="00E61F43">
        <w:rPr>
          <w:rFonts w:asciiTheme="majorHAnsi" w:hAnsiTheme="majorHAnsi"/>
        </w:rPr>
        <w:t xml:space="preserve"> Analysis of existing conditions and historical trends that provides a baseline level of crashes involving fatalities and serious injuries across the </w:t>
      </w:r>
      <w:r>
        <w:rPr>
          <w:rFonts w:asciiTheme="majorHAnsi" w:hAnsiTheme="majorHAnsi"/>
        </w:rPr>
        <w:t>County</w:t>
      </w:r>
      <w:r w:rsidRPr="00E61F43">
        <w:rPr>
          <w:rFonts w:asciiTheme="majorHAnsi" w:hAnsiTheme="majorHAnsi"/>
        </w:rPr>
        <w:t xml:space="preserve">. Includes an analysis of locations where there are crashes and the severity of the crashes, as well as contributing factors and crash types by relevant road users (motorists, pedestrians, transit users, etc.). Analysis of systemic and specific safety needs is also performed, as needed (e.g., </w:t>
      </w:r>
      <w:r w:rsidR="00D52CA4" w:rsidRPr="00E61F43">
        <w:rPr>
          <w:rFonts w:asciiTheme="majorHAnsi" w:hAnsiTheme="majorHAnsi"/>
        </w:rPr>
        <w:t>high-risk</w:t>
      </w:r>
      <w:r w:rsidRPr="00E61F43">
        <w:rPr>
          <w:rFonts w:asciiTheme="majorHAnsi" w:hAnsiTheme="majorHAnsi"/>
        </w:rPr>
        <w:t xml:space="preserve"> road features, specific safety needs of relevant road users, public health approaches, analysis of the built </w:t>
      </w:r>
      <w:r w:rsidRPr="00E61F43">
        <w:rPr>
          <w:rFonts w:asciiTheme="majorHAnsi" w:hAnsiTheme="majorHAnsi"/>
        </w:rPr>
        <w:lastRenderedPageBreak/>
        <w:t xml:space="preserve">environment, demographics, and structural issues). Based on the analysis performed, a geospatial identification of higher- risk locations are developed (a High-Injury Network or equivalent). </w:t>
      </w:r>
    </w:p>
    <w:p w14:paraId="561C7A3A" w14:textId="77777777" w:rsidR="00E61F43" w:rsidRDefault="00E61F43" w:rsidP="00E61F43">
      <w:pPr>
        <w:pStyle w:val="ListParagraph"/>
        <w:numPr>
          <w:ilvl w:val="0"/>
          <w:numId w:val="38"/>
        </w:numPr>
        <w:tabs>
          <w:tab w:val="right" w:leader="dot" w:pos="9000"/>
        </w:tabs>
        <w:rPr>
          <w:rFonts w:asciiTheme="majorHAnsi" w:hAnsiTheme="majorHAnsi"/>
        </w:rPr>
      </w:pPr>
      <w:r w:rsidRPr="00E61F43">
        <w:rPr>
          <w:rFonts w:asciiTheme="majorHAnsi" w:hAnsiTheme="majorHAnsi"/>
          <w:b/>
          <w:bCs/>
        </w:rPr>
        <w:t>Engagement and Collaboration.</w:t>
      </w:r>
      <w:r w:rsidRPr="00E61F43">
        <w:rPr>
          <w:rFonts w:asciiTheme="majorHAnsi" w:hAnsiTheme="majorHAnsi"/>
        </w:rPr>
        <w:t xml:space="preserve"> Engagement with the public and relevant stakeholders, including the private sector and community groups, that allows for both community representation and feedback. Information received from engagement and collaboration is analyzed and incorporated into the Action Plan.</w:t>
      </w:r>
    </w:p>
    <w:p w14:paraId="2A19F3D2" w14:textId="77777777" w:rsidR="00E61F43" w:rsidRDefault="00E61F43" w:rsidP="00E61F43">
      <w:pPr>
        <w:pStyle w:val="ListParagraph"/>
        <w:numPr>
          <w:ilvl w:val="0"/>
          <w:numId w:val="38"/>
        </w:numPr>
        <w:tabs>
          <w:tab w:val="right" w:leader="dot" w:pos="9000"/>
        </w:tabs>
        <w:rPr>
          <w:rFonts w:asciiTheme="majorHAnsi" w:hAnsiTheme="majorHAnsi"/>
        </w:rPr>
      </w:pPr>
      <w:r w:rsidRPr="00E61F43">
        <w:rPr>
          <w:rFonts w:asciiTheme="majorHAnsi" w:hAnsiTheme="majorHAnsi"/>
          <w:b/>
          <w:bCs/>
        </w:rPr>
        <w:t>Equity Considerations.</w:t>
      </w:r>
      <w:r w:rsidRPr="00E61F43">
        <w:rPr>
          <w:rFonts w:asciiTheme="majorHAnsi" w:hAnsiTheme="majorHAnsi"/>
        </w:rPr>
        <w:t xml:space="preserve"> Plan development using inclusive and representative processes. Underserved communities are identified through data and other analyses in collaboration with appropriate partners. The analysis includes both population characteristics and initial equity impact assessments of the proposed projects and strategies. </w:t>
      </w:r>
    </w:p>
    <w:p w14:paraId="110A6514" w14:textId="2EBDEDC8" w:rsidR="00E61F43" w:rsidRPr="00BF6172" w:rsidRDefault="00E61F43" w:rsidP="00E61F43">
      <w:pPr>
        <w:pStyle w:val="ListParagraph"/>
        <w:numPr>
          <w:ilvl w:val="0"/>
          <w:numId w:val="38"/>
        </w:numPr>
        <w:tabs>
          <w:tab w:val="right" w:leader="dot" w:pos="9000"/>
        </w:tabs>
        <w:rPr>
          <w:rFonts w:asciiTheme="majorHAnsi" w:hAnsiTheme="majorHAnsi"/>
        </w:rPr>
      </w:pPr>
      <w:r w:rsidRPr="00E61F43">
        <w:rPr>
          <w:rFonts w:asciiTheme="majorHAnsi" w:hAnsiTheme="majorHAnsi"/>
          <w:b/>
          <w:bCs/>
        </w:rPr>
        <w:t>Policy and Process Changes.</w:t>
      </w:r>
      <w:r w:rsidRPr="00E61F43">
        <w:rPr>
          <w:rFonts w:asciiTheme="majorHAnsi" w:hAnsiTheme="majorHAnsi"/>
        </w:rPr>
        <w:t xml:space="preserve"> Assessment of current policies, plans, guidelines, and/or standards (e.g., manuals) to identify opportunities to improve how processes prioritize transportation safety. The Action Plan discusses implementation through the adoption of revised or new policies, guidelines, and/or </w:t>
      </w:r>
      <w:r w:rsidRPr="00BF6172">
        <w:rPr>
          <w:rFonts w:asciiTheme="majorHAnsi" w:hAnsiTheme="majorHAnsi"/>
        </w:rPr>
        <w:t xml:space="preserve">standards, as appropriate. </w:t>
      </w:r>
    </w:p>
    <w:p w14:paraId="1B5CBDA5" w14:textId="4FE4137F" w:rsidR="00E61F43" w:rsidRPr="00BF6172" w:rsidRDefault="00E61F43" w:rsidP="00E61F43">
      <w:pPr>
        <w:pStyle w:val="ListParagraph"/>
        <w:numPr>
          <w:ilvl w:val="0"/>
          <w:numId w:val="38"/>
        </w:numPr>
        <w:tabs>
          <w:tab w:val="right" w:leader="dot" w:pos="9000"/>
        </w:tabs>
        <w:rPr>
          <w:rFonts w:asciiTheme="majorHAnsi" w:hAnsiTheme="majorHAnsi"/>
        </w:rPr>
      </w:pPr>
      <w:r w:rsidRPr="00BF6172">
        <w:rPr>
          <w:rFonts w:asciiTheme="majorHAnsi" w:hAnsiTheme="majorHAnsi"/>
          <w:b/>
          <w:bCs/>
        </w:rPr>
        <w:t>Strategy and Project Selections</w:t>
      </w:r>
      <w:r w:rsidRPr="00BF6172">
        <w:rPr>
          <w:rFonts w:asciiTheme="majorHAnsi" w:hAnsiTheme="majorHAnsi"/>
        </w:rPr>
        <w:t>. Identification of a comprehensive set of projects and strategies—shaped by data, the best available evidence and noteworthy practices, and stakeholder input and equity considerations—that will address the safety problems described in the Action Plan. These strategies and countermeasures focus on a Safe System Approach and effective interventions and consider</w:t>
      </w:r>
      <w:r w:rsidRPr="00E61F43">
        <w:rPr>
          <w:rFonts w:asciiTheme="majorHAnsi" w:hAnsiTheme="majorHAnsi"/>
        </w:rPr>
        <w:t xml:space="preserve"> multidisciplinary activities. To the extent practicable, data limitations are identified and mitigated. Once identified, the projects and strategies should be prioritized in a recommendation list that provides time ranges for when the strategies and countermeasures should be deployed (e.g., short-, mid-, and long- term timeframes). The list should include specific projects and strategies, or descriptions of programs of projects and strategies, and explains the prioritization criteria used. The list should contain interventions focused on infrastructure, behavioral, and/or </w:t>
      </w:r>
      <w:r w:rsidRPr="00BF6172">
        <w:rPr>
          <w:rFonts w:asciiTheme="majorHAnsi" w:hAnsiTheme="majorHAnsi"/>
        </w:rPr>
        <w:t xml:space="preserve">operational safety. </w:t>
      </w:r>
    </w:p>
    <w:p w14:paraId="53BC1756" w14:textId="0FDEBACD" w:rsidR="00E61F43" w:rsidRPr="00BF6172" w:rsidRDefault="00E61F43" w:rsidP="00E61F43">
      <w:pPr>
        <w:pStyle w:val="ListParagraph"/>
        <w:numPr>
          <w:ilvl w:val="0"/>
          <w:numId w:val="38"/>
        </w:numPr>
        <w:tabs>
          <w:tab w:val="right" w:leader="dot" w:pos="9000"/>
        </w:tabs>
        <w:rPr>
          <w:rFonts w:asciiTheme="majorHAnsi" w:hAnsiTheme="majorHAnsi"/>
        </w:rPr>
      </w:pPr>
      <w:r w:rsidRPr="00BF6172">
        <w:rPr>
          <w:rFonts w:asciiTheme="majorHAnsi" w:hAnsiTheme="majorHAnsi"/>
          <w:b/>
          <w:bCs/>
        </w:rPr>
        <w:t>Progress and Transparency.</w:t>
      </w:r>
      <w:r w:rsidRPr="00BF6172">
        <w:rPr>
          <w:rFonts w:asciiTheme="majorHAnsi" w:hAnsiTheme="majorHAnsi"/>
        </w:rPr>
        <w:t xml:space="preserve"> Method to measure progress over time after an Action Plan is developed or updated, including outcome data. A means to ensure ongoing transparency is established with residents and other relevant stakeholders. The approach must include, at a minimum, annual public and accessible reporting on progress toward reducing roadway fatalities and serious injuries and public posting of the Action Plan online.  The tactics listed above are not exhaustive, and the </w:t>
      </w:r>
      <w:r w:rsidR="00DC76F1" w:rsidRPr="00BF6172">
        <w:rPr>
          <w:rFonts w:asciiTheme="majorHAnsi" w:hAnsiTheme="majorHAnsi"/>
        </w:rPr>
        <w:t xml:space="preserve">Commission staff </w:t>
      </w:r>
      <w:r w:rsidRPr="00BF6172">
        <w:rPr>
          <w:rFonts w:asciiTheme="majorHAnsi" w:hAnsiTheme="majorHAnsi"/>
        </w:rPr>
        <w:t>remains open to the expertise of relevant firms to make recommendations.</w:t>
      </w:r>
    </w:p>
    <w:p w14:paraId="28D7E735" w14:textId="77777777" w:rsidR="00E61F43" w:rsidRPr="00E61F43" w:rsidRDefault="00E61F43" w:rsidP="00E61F43">
      <w:pPr>
        <w:tabs>
          <w:tab w:val="right" w:leader="dot" w:pos="9000"/>
        </w:tabs>
        <w:rPr>
          <w:rFonts w:asciiTheme="majorHAnsi" w:hAnsiTheme="majorHAnsi"/>
        </w:rPr>
      </w:pPr>
    </w:p>
    <w:p w14:paraId="74AFD8CF" w14:textId="191D7337" w:rsidR="00DC76F1" w:rsidRDefault="00A639D3" w:rsidP="00DC76F1">
      <w:pPr>
        <w:tabs>
          <w:tab w:val="right" w:leader="dot" w:pos="9000"/>
        </w:tabs>
        <w:rPr>
          <w:rFonts w:asciiTheme="majorHAnsi" w:hAnsiTheme="majorHAnsi"/>
        </w:rPr>
      </w:pPr>
      <w:r w:rsidRPr="00DC76F1">
        <w:rPr>
          <w:rFonts w:asciiTheme="majorHAnsi" w:hAnsiTheme="majorHAnsi"/>
          <w:b/>
        </w:rPr>
        <w:t xml:space="preserve">Project </w:t>
      </w:r>
      <w:r w:rsidR="00DC76F1" w:rsidRPr="00DC76F1">
        <w:rPr>
          <w:rFonts w:asciiTheme="majorHAnsi" w:hAnsiTheme="majorHAnsi"/>
          <w:b/>
        </w:rPr>
        <w:t>Deliverables</w:t>
      </w:r>
      <w:r w:rsidR="00CF71DB" w:rsidRPr="00DC76F1">
        <w:rPr>
          <w:rFonts w:asciiTheme="majorHAnsi" w:hAnsiTheme="majorHAnsi"/>
        </w:rPr>
        <w:t xml:space="preserve"> – </w:t>
      </w:r>
    </w:p>
    <w:p w14:paraId="1D879019" w14:textId="77777777" w:rsidR="00DC76F1" w:rsidRDefault="00DC76F1" w:rsidP="00DC76F1">
      <w:pPr>
        <w:tabs>
          <w:tab w:val="right" w:leader="dot" w:pos="9000"/>
        </w:tabs>
        <w:ind w:left="720"/>
        <w:rPr>
          <w:rFonts w:asciiTheme="majorHAnsi" w:hAnsiTheme="majorHAnsi"/>
        </w:rPr>
      </w:pPr>
    </w:p>
    <w:p w14:paraId="27994F25" w14:textId="77777777" w:rsidR="00DC76F1" w:rsidRDefault="00DC76F1" w:rsidP="00DC76F1">
      <w:pPr>
        <w:pStyle w:val="ListParagraph"/>
        <w:numPr>
          <w:ilvl w:val="0"/>
          <w:numId w:val="58"/>
        </w:numPr>
        <w:tabs>
          <w:tab w:val="left" w:pos="1440"/>
          <w:tab w:val="right" w:leader="dot" w:pos="9000"/>
        </w:tabs>
        <w:ind w:left="1440"/>
        <w:rPr>
          <w:rFonts w:asciiTheme="majorHAnsi" w:hAnsiTheme="majorHAnsi"/>
        </w:rPr>
      </w:pPr>
      <w:r w:rsidRPr="00DC76F1">
        <w:rPr>
          <w:rFonts w:asciiTheme="majorHAnsi" w:hAnsiTheme="majorHAnsi"/>
        </w:rPr>
        <w:t xml:space="preserve">Baseline safety analysis report. </w:t>
      </w:r>
    </w:p>
    <w:p w14:paraId="1554B260" w14:textId="77777777" w:rsidR="00DC76F1" w:rsidRDefault="00DC76F1" w:rsidP="00DC76F1">
      <w:pPr>
        <w:pStyle w:val="ListParagraph"/>
        <w:numPr>
          <w:ilvl w:val="0"/>
          <w:numId w:val="58"/>
        </w:numPr>
        <w:tabs>
          <w:tab w:val="left" w:pos="1440"/>
          <w:tab w:val="right" w:leader="dot" w:pos="9000"/>
        </w:tabs>
        <w:ind w:left="1440"/>
        <w:rPr>
          <w:rFonts w:asciiTheme="majorHAnsi" w:hAnsiTheme="majorHAnsi"/>
        </w:rPr>
      </w:pPr>
      <w:r w:rsidRPr="00DC76F1">
        <w:rPr>
          <w:rFonts w:asciiTheme="majorHAnsi" w:hAnsiTheme="majorHAnsi"/>
        </w:rPr>
        <w:t xml:space="preserve">Stakeholder and public engagement activities and summaries. </w:t>
      </w:r>
    </w:p>
    <w:p w14:paraId="628DB40C" w14:textId="77777777" w:rsidR="00983579" w:rsidRDefault="00DC76F1" w:rsidP="00DC76F1">
      <w:pPr>
        <w:pStyle w:val="ListParagraph"/>
        <w:numPr>
          <w:ilvl w:val="0"/>
          <w:numId w:val="58"/>
        </w:numPr>
        <w:tabs>
          <w:tab w:val="left" w:pos="1440"/>
          <w:tab w:val="right" w:leader="dot" w:pos="9000"/>
        </w:tabs>
        <w:ind w:left="1440"/>
        <w:rPr>
          <w:rFonts w:asciiTheme="majorHAnsi" w:hAnsiTheme="majorHAnsi"/>
        </w:rPr>
      </w:pPr>
      <w:r w:rsidRPr="00DC76F1">
        <w:rPr>
          <w:rFonts w:asciiTheme="majorHAnsi" w:hAnsiTheme="majorHAnsi"/>
        </w:rPr>
        <w:t>Regular meetings with</w:t>
      </w:r>
      <w:r>
        <w:rPr>
          <w:rFonts w:asciiTheme="majorHAnsi" w:hAnsiTheme="majorHAnsi"/>
        </w:rPr>
        <w:t xml:space="preserve"> Commission </w:t>
      </w:r>
      <w:r w:rsidRPr="00DC76F1">
        <w:rPr>
          <w:rFonts w:asciiTheme="majorHAnsi" w:hAnsiTheme="majorHAnsi"/>
        </w:rPr>
        <w:t xml:space="preserve">Staff, monthly progress reports, and preparation and submission of invoices. </w:t>
      </w:r>
    </w:p>
    <w:p w14:paraId="0A6D8724" w14:textId="66B26DD4" w:rsidR="00DC76F1" w:rsidRDefault="00DC76F1" w:rsidP="00983579">
      <w:pPr>
        <w:pStyle w:val="ListParagraph"/>
        <w:numPr>
          <w:ilvl w:val="2"/>
          <w:numId w:val="58"/>
        </w:numPr>
        <w:tabs>
          <w:tab w:val="left" w:pos="1440"/>
          <w:tab w:val="right" w:leader="dot" w:pos="9000"/>
        </w:tabs>
        <w:rPr>
          <w:rFonts w:asciiTheme="majorHAnsi" w:hAnsiTheme="majorHAnsi"/>
        </w:rPr>
      </w:pPr>
      <w:r w:rsidRPr="00DC76F1">
        <w:rPr>
          <w:rFonts w:asciiTheme="majorHAnsi" w:hAnsiTheme="majorHAnsi"/>
        </w:rPr>
        <w:lastRenderedPageBreak/>
        <w:t xml:space="preserve">Monthly progress reports should include performed work; upcoming tasks or milestones; status of scope, schedule, and budget; and risk assessment and proposed mitigation. </w:t>
      </w:r>
    </w:p>
    <w:p w14:paraId="5CC6C364" w14:textId="3FE391B9" w:rsidR="00525083" w:rsidRDefault="00DC76F1" w:rsidP="00525083">
      <w:pPr>
        <w:pStyle w:val="ListParagraph"/>
        <w:numPr>
          <w:ilvl w:val="0"/>
          <w:numId w:val="58"/>
        </w:numPr>
        <w:tabs>
          <w:tab w:val="left" w:pos="1440"/>
          <w:tab w:val="right" w:leader="dot" w:pos="9000"/>
        </w:tabs>
        <w:ind w:left="1440"/>
        <w:rPr>
          <w:rFonts w:asciiTheme="majorHAnsi" w:hAnsiTheme="majorHAnsi"/>
        </w:rPr>
      </w:pPr>
      <w:r w:rsidRPr="00DC76F1">
        <w:rPr>
          <w:rFonts w:asciiTheme="majorHAnsi" w:hAnsiTheme="majorHAnsi"/>
        </w:rPr>
        <w:t xml:space="preserve">Executive Summary/Fact Sheet (highly graphic, highlighting major assumptions, strategies, and recommendations at the completion of this project). </w:t>
      </w:r>
      <w:r w:rsidR="00525083">
        <w:rPr>
          <w:rFonts w:asciiTheme="majorHAnsi" w:hAnsiTheme="majorHAnsi"/>
        </w:rPr>
        <w:t>Develop grant application companion one-</w:t>
      </w:r>
      <w:r w:rsidR="00983579">
        <w:rPr>
          <w:rFonts w:asciiTheme="majorHAnsi" w:hAnsiTheme="majorHAnsi"/>
        </w:rPr>
        <w:t>page project</w:t>
      </w:r>
      <w:r w:rsidR="00525083">
        <w:rPr>
          <w:rFonts w:asciiTheme="majorHAnsi" w:hAnsiTheme="majorHAnsi"/>
        </w:rPr>
        <w:t xml:space="preserve"> summary sheets to accompany future project applications. </w:t>
      </w:r>
    </w:p>
    <w:p w14:paraId="5AD2F83D" w14:textId="05624F52" w:rsidR="00DC76F1" w:rsidRDefault="00DC76F1" w:rsidP="00DC76F1">
      <w:pPr>
        <w:pStyle w:val="ListParagraph"/>
        <w:numPr>
          <w:ilvl w:val="0"/>
          <w:numId w:val="58"/>
        </w:numPr>
        <w:tabs>
          <w:tab w:val="left" w:pos="1440"/>
          <w:tab w:val="right" w:leader="dot" w:pos="9000"/>
        </w:tabs>
        <w:ind w:left="1440"/>
        <w:rPr>
          <w:rFonts w:asciiTheme="majorHAnsi" w:hAnsiTheme="majorHAnsi"/>
        </w:rPr>
      </w:pPr>
      <w:r w:rsidRPr="00DC76F1">
        <w:rPr>
          <w:rFonts w:asciiTheme="majorHAnsi" w:hAnsiTheme="majorHAnsi"/>
        </w:rPr>
        <w:t>Final high-resolution PDF of the Comprehensive Action Plan</w:t>
      </w:r>
      <w:r w:rsidR="00983579">
        <w:rPr>
          <w:rFonts w:asciiTheme="majorHAnsi" w:hAnsiTheme="majorHAnsi"/>
        </w:rPr>
        <w:t>.</w:t>
      </w:r>
    </w:p>
    <w:p w14:paraId="15C2AF8D" w14:textId="77777777" w:rsidR="00983579" w:rsidRDefault="00007099" w:rsidP="00DC76F1">
      <w:pPr>
        <w:pStyle w:val="ListParagraph"/>
        <w:numPr>
          <w:ilvl w:val="0"/>
          <w:numId w:val="58"/>
        </w:numPr>
        <w:tabs>
          <w:tab w:val="left" w:pos="1440"/>
          <w:tab w:val="right" w:leader="dot" w:pos="9000"/>
        </w:tabs>
        <w:ind w:left="1440"/>
        <w:rPr>
          <w:rFonts w:asciiTheme="majorHAnsi" w:hAnsiTheme="majorHAnsi"/>
        </w:rPr>
      </w:pPr>
      <w:r>
        <w:rPr>
          <w:rFonts w:asciiTheme="majorHAnsi" w:hAnsiTheme="majorHAnsi"/>
        </w:rPr>
        <w:t>Develop a project ArcGIS web map illustrating the safety conditions, recommended project locations and planned improvements for the region.</w:t>
      </w:r>
    </w:p>
    <w:p w14:paraId="3FA025E1" w14:textId="407015E8" w:rsidR="00007099" w:rsidRDefault="00007099" w:rsidP="00DC76F1">
      <w:pPr>
        <w:pStyle w:val="ListParagraph"/>
        <w:numPr>
          <w:ilvl w:val="0"/>
          <w:numId w:val="58"/>
        </w:numPr>
        <w:tabs>
          <w:tab w:val="left" w:pos="1440"/>
          <w:tab w:val="right" w:leader="dot" w:pos="9000"/>
        </w:tabs>
        <w:ind w:left="1440"/>
        <w:rPr>
          <w:rFonts w:asciiTheme="majorHAnsi" w:hAnsiTheme="majorHAnsi"/>
        </w:rPr>
      </w:pPr>
      <w:r>
        <w:rPr>
          <w:rFonts w:asciiTheme="majorHAnsi" w:hAnsiTheme="majorHAnsi"/>
        </w:rPr>
        <w:t>Update the existing Tehama County Collisions Dashboard to match current collision</w:t>
      </w:r>
      <w:r w:rsidR="00983579">
        <w:rPr>
          <w:rFonts w:asciiTheme="majorHAnsi" w:hAnsiTheme="majorHAnsi"/>
        </w:rPr>
        <w:t>/accident</w:t>
      </w:r>
      <w:r>
        <w:rPr>
          <w:rFonts w:asciiTheme="majorHAnsi" w:hAnsiTheme="majorHAnsi"/>
        </w:rPr>
        <w:t xml:space="preserve"> data (</w:t>
      </w:r>
      <w:hyperlink r:id="rId15" w:history="1">
        <w:r w:rsidR="00983579" w:rsidRPr="00637C2D">
          <w:rPr>
            <w:rStyle w:val="Hyperlink"/>
            <w:rFonts w:asciiTheme="majorHAnsi" w:hAnsiTheme="majorHAnsi"/>
          </w:rPr>
          <w:t>https://tehama.maps.arcgis.com/apps/dashboards/9e2f6cc16cb74dea9fb43b462e4c8f7b</w:t>
        </w:r>
      </w:hyperlink>
      <w:r w:rsidR="00983579">
        <w:rPr>
          <w:rFonts w:asciiTheme="majorHAnsi" w:hAnsiTheme="majorHAnsi"/>
        </w:rPr>
        <w:t xml:space="preserve"> </w:t>
      </w:r>
      <w:r>
        <w:rPr>
          <w:rFonts w:asciiTheme="majorHAnsi" w:hAnsiTheme="majorHAnsi"/>
        </w:rPr>
        <w:t xml:space="preserve">). </w:t>
      </w:r>
    </w:p>
    <w:p w14:paraId="062BB319" w14:textId="77777777" w:rsidR="00DC76F1" w:rsidRDefault="00DC76F1" w:rsidP="00DC76F1">
      <w:pPr>
        <w:pStyle w:val="ListParagraph"/>
        <w:numPr>
          <w:ilvl w:val="0"/>
          <w:numId w:val="58"/>
        </w:numPr>
        <w:tabs>
          <w:tab w:val="left" w:pos="1440"/>
          <w:tab w:val="right" w:leader="dot" w:pos="9000"/>
        </w:tabs>
        <w:ind w:left="1440"/>
        <w:rPr>
          <w:rFonts w:asciiTheme="majorHAnsi" w:hAnsiTheme="majorHAnsi"/>
        </w:rPr>
      </w:pPr>
      <w:r w:rsidRPr="00DC76F1">
        <w:rPr>
          <w:rFonts w:asciiTheme="majorHAnsi" w:hAnsiTheme="majorHAnsi"/>
        </w:rPr>
        <w:t>All data and study products, meeting summaries, public feedback, and technical analyses.</w:t>
      </w:r>
    </w:p>
    <w:p w14:paraId="79C84A3E" w14:textId="64C78D18" w:rsidR="00A228D3" w:rsidRDefault="00DC76F1" w:rsidP="00DC76F1">
      <w:pPr>
        <w:pStyle w:val="ListParagraph"/>
        <w:numPr>
          <w:ilvl w:val="0"/>
          <w:numId w:val="58"/>
        </w:numPr>
        <w:tabs>
          <w:tab w:val="left" w:pos="1440"/>
          <w:tab w:val="right" w:leader="dot" w:pos="9000"/>
        </w:tabs>
        <w:ind w:left="1440"/>
        <w:rPr>
          <w:rFonts w:asciiTheme="majorHAnsi" w:hAnsiTheme="majorHAnsi"/>
        </w:rPr>
      </w:pPr>
      <w:r w:rsidRPr="00DC76F1">
        <w:rPr>
          <w:rFonts w:asciiTheme="majorHAnsi" w:hAnsiTheme="majorHAnsi"/>
        </w:rPr>
        <w:t xml:space="preserve">Final presentation to the Board of </w:t>
      </w:r>
      <w:r>
        <w:rPr>
          <w:rFonts w:asciiTheme="majorHAnsi" w:hAnsiTheme="majorHAnsi"/>
        </w:rPr>
        <w:t>Supervisors</w:t>
      </w:r>
      <w:r w:rsidRPr="00DC76F1">
        <w:rPr>
          <w:rFonts w:asciiTheme="majorHAnsi" w:hAnsiTheme="majorHAnsi"/>
        </w:rPr>
        <w:t xml:space="preserve"> to give an overview of the Action Plan, provide recommendations for implementation projects, and encourage commitment from the </w:t>
      </w:r>
      <w:r>
        <w:rPr>
          <w:rFonts w:asciiTheme="majorHAnsi" w:hAnsiTheme="majorHAnsi"/>
        </w:rPr>
        <w:t>Commission</w:t>
      </w:r>
      <w:r w:rsidRPr="00DC76F1">
        <w:rPr>
          <w:rFonts w:asciiTheme="majorHAnsi" w:hAnsiTheme="majorHAnsi"/>
        </w:rPr>
        <w:t xml:space="preserve"> to the Action Plan.</w:t>
      </w:r>
    </w:p>
    <w:p w14:paraId="62C2DD7E" w14:textId="168DEBE2" w:rsidR="00525083" w:rsidRDefault="00525083" w:rsidP="00DC76F1">
      <w:pPr>
        <w:pStyle w:val="ListParagraph"/>
        <w:numPr>
          <w:ilvl w:val="0"/>
          <w:numId w:val="58"/>
        </w:numPr>
        <w:tabs>
          <w:tab w:val="left" w:pos="1440"/>
          <w:tab w:val="right" w:leader="dot" w:pos="9000"/>
        </w:tabs>
        <w:ind w:left="1440"/>
        <w:rPr>
          <w:rFonts w:asciiTheme="majorHAnsi" w:hAnsiTheme="majorHAnsi"/>
        </w:rPr>
      </w:pPr>
      <w:r>
        <w:rPr>
          <w:rFonts w:asciiTheme="majorHAnsi" w:hAnsiTheme="majorHAnsi"/>
        </w:rPr>
        <w:t xml:space="preserve">Develop first application submission for the </w:t>
      </w:r>
      <w:r w:rsidRPr="00FD4F83">
        <w:rPr>
          <w:rFonts w:asciiTheme="majorHAnsi" w:hAnsiTheme="majorHAnsi"/>
        </w:rPr>
        <w:t xml:space="preserve">2025 </w:t>
      </w:r>
      <w:r w:rsidR="00831A12" w:rsidRPr="00FD4F83">
        <w:rPr>
          <w:rFonts w:asciiTheme="majorHAnsi" w:hAnsiTheme="majorHAnsi"/>
        </w:rPr>
        <w:t xml:space="preserve">or 2026 </w:t>
      </w:r>
      <w:r w:rsidRPr="00FD4F83">
        <w:rPr>
          <w:rFonts w:asciiTheme="majorHAnsi" w:hAnsiTheme="majorHAnsi"/>
        </w:rPr>
        <w:t>SS4A</w:t>
      </w:r>
      <w:r>
        <w:rPr>
          <w:rFonts w:asciiTheme="majorHAnsi" w:hAnsiTheme="majorHAnsi"/>
        </w:rPr>
        <w:t xml:space="preserve"> Implementation Grant.</w:t>
      </w:r>
    </w:p>
    <w:p w14:paraId="08C1ED18" w14:textId="77777777" w:rsidR="00DC76F1" w:rsidRPr="00DC76F1" w:rsidRDefault="00DC76F1" w:rsidP="00DC76F1">
      <w:pPr>
        <w:pStyle w:val="ListParagraph"/>
        <w:tabs>
          <w:tab w:val="right" w:leader="dot" w:pos="9000"/>
        </w:tabs>
        <w:rPr>
          <w:rFonts w:asciiTheme="majorHAnsi" w:hAnsiTheme="majorHAnsi"/>
        </w:rPr>
      </w:pPr>
    </w:p>
    <w:p w14:paraId="512B00BE" w14:textId="65055A13" w:rsidR="00A228D3" w:rsidRPr="00CD5E28" w:rsidRDefault="00A228D3" w:rsidP="00CD5E28">
      <w:pPr>
        <w:tabs>
          <w:tab w:val="right" w:leader="dot" w:pos="9000"/>
        </w:tabs>
        <w:rPr>
          <w:rFonts w:asciiTheme="majorHAnsi" w:hAnsiTheme="majorHAnsi"/>
        </w:rPr>
      </w:pPr>
      <w:r w:rsidRPr="00CD5E28">
        <w:rPr>
          <w:rFonts w:asciiTheme="majorHAnsi" w:hAnsiTheme="majorHAnsi"/>
          <w:b/>
        </w:rPr>
        <w:t>Evaluation</w:t>
      </w:r>
      <w:r w:rsidRPr="00CD5E28">
        <w:rPr>
          <w:rFonts w:asciiTheme="majorHAnsi" w:hAnsiTheme="majorHAnsi"/>
        </w:rPr>
        <w:t xml:space="preserve"> – </w:t>
      </w:r>
      <w:r w:rsidR="007D1B80" w:rsidRPr="00CD5E28">
        <w:rPr>
          <w:rFonts w:asciiTheme="majorHAnsi" w:hAnsiTheme="majorHAnsi"/>
        </w:rPr>
        <w:t>PROPOSER</w:t>
      </w:r>
      <w:r w:rsidR="00033A53" w:rsidRPr="00CD5E28">
        <w:rPr>
          <w:rFonts w:asciiTheme="majorHAnsi" w:hAnsiTheme="majorHAnsi"/>
        </w:rPr>
        <w:t xml:space="preserve"> will</w:t>
      </w:r>
      <w:r w:rsidR="000E3921">
        <w:rPr>
          <w:rFonts w:asciiTheme="majorHAnsi" w:hAnsiTheme="majorHAnsi"/>
        </w:rPr>
        <w:t xml:space="preserve"> be</w:t>
      </w:r>
      <w:r w:rsidR="00372B6A" w:rsidRPr="00CD5E28">
        <w:rPr>
          <w:rFonts w:asciiTheme="majorHAnsi" w:hAnsiTheme="majorHAnsi"/>
        </w:rPr>
        <w:t xml:space="preserve"> </w:t>
      </w:r>
      <w:r w:rsidR="00CD5E28" w:rsidRPr="00CD5E28">
        <w:rPr>
          <w:rFonts w:asciiTheme="majorHAnsi" w:hAnsiTheme="majorHAnsi"/>
        </w:rPr>
        <w:t>evaluated under the requirements listed in Appendix A.</w:t>
      </w:r>
    </w:p>
    <w:p w14:paraId="172278E2" w14:textId="77777777" w:rsidR="00A228D3" w:rsidRPr="00CD5E28" w:rsidRDefault="00A228D3" w:rsidP="00F044E2">
      <w:pPr>
        <w:pStyle w:val="ListParagraph"/>
        <w:rPr>
          <w:rFonts w:asciiTheme="majorHAnsi" w:hAnsiTheme="majorHAnsi"/>
          <w:highlight w:val="yellow"/>
        </w:rPr>
      </w:pPr>
    </w:p>
    <w:p w14:paraId="56D4A3D9" w14:textId="49FB2F87" w:rsidR="003456E1" w:rsidRPr="00AB3DAC" w:rsidRDefault="005E09B8" w:rsidP="00CD5E28">
      <w:pPr>
        <w:tabs>
          <w:tab w:val="right" w:leader="dot" w:pos="9000"/>
        </w:tabs>
        <w:rPr>
          <w:rFonts w:asciiTheme="majorHAnsi" w:hAnsiTheme="majorHAnsi"/>
        </w:rPr>
      </w:pPr>
      <w:r w:rsidRPr="00670F68">
        <w:rPr>
          <w:rFonts w:asciiTheme="majorHAnsi" w:hAnsiTheme="majorHAnsi"/>
          <w:b/>
        </w:rPr>
        <w:t xml:space="preserve">Project </w:t>
      </w:r>
      <w:r w:rsidR="00CF71DB" w:rsidRPr="00670F68">
        <w:rPr>
          <w:rFonts w:asciiTheme="majorHAnsi" w:hAnsiTheme="majorHAnsi"/>
          <w:b/>
        </w:rPr>
        <w:t xml:space="preserve">Coordination with </w:t>
      </w:r>
      <w:r w:rsidR="00F1198D" w:rsidRPr="00670F68">
        <w:rPr>
          <w:rFonts w:asciiTheme="majorHAnsi" w:hAnsiTheme="majorHAnsi"/>
          <w:b/>
        </w:rPr>
        <w:t>Local Agencies</w:t>
      </w:r>
      <w:r w:rsidR="00CF71DB" w:rsidRPr="00670F68">
        <w:rPr>
          <w:rFonts w:asciiTheme="majorHAnsi" w:hAnsiTheme="majorHAnsi"/>
        </w:rPr>
        <w:t xml:space="preserve"> – </w:t>
      </w:r>
      <w:r w:rsidR="0083045D">
        <w:rPr>
          <w:rFonts w:asciiTheme="majorHAnsi" w:hAnsiTheme="majorHAnsi"/>
        </w:rPr>
        <w:t>Coordination will include the County, City of Tehama, City of Corning, City of Red Bluff</w:t>
      </w:r>
      <w:r w:rsidR="007D1B80">
        <w:rPr>
          <w:rFonts w:asciiTheme="majorHAnsi" w:hAnsiTheme="majorHAnsi"/>
        </w:rPr>
        <w:t xml:space="preserve">, Paskenta Band of Nomlaki Indians </w:t>
      </w:r>
      <w:r w:rsidR="0083045D">
        <w:rPr>
          <w:rFonts w:asciiTheme="majorHAnsi" w:hAnsiTheme="majorHAnsi"/>
        </w:rPr>
        <w:t>and all local partners in the region with jurisdictional responsibilities to public roadways within the region.</w:t>
      </w:r>
    </w:p>
    <w:p w14:paraId="7F972F41" w14:textId="77777777" w:rsidR="00372B6A" w:rsidRPr="00AB3DAC" w:rsidRDefault="00372B6A" w:rsidP="00F044E2">
      <w:pPr>
        <w:tabs>
          <w:tab w:val="right" w:leader="dot" w:pos="9000"/>
        </w:tabs>
        <w:ind w:left="720"/>
        <w:rPr>
          <w:rFonts w:asciiTheme="majorHAnsi" w:hAnsiTheme="majorHAnsi"/>
        </w:rPr>
      </w:pPr>
    </w:p>
    <w:p w14:paraId="2A7B5EB4" w14:textId="77777777" w:rsidR="00335130" w:rsidRPr="00F631C2" w:rsidRDefault="00335130" w:rsidP="00CD5E28">
      <w:pPr>
        <w:tabs>
          <w:tab w:val="right" w:leader="dot" w:pos="9000"/>
        </w:tabs>
        <w:rPr>
          <w:rFonts w:asciiTheme="majorHAnsi" w:hAnsiTheme="majorHAnsi"/>
        </w:rPr>
      </w:pPr>
      <w:r w:rsidRPr="00F631C2">
        <w:rPr>
          <w:rFonts w:asciiTheme="majorHAnsi" w:hAnsiTheme="majorHAnsi"/>
          <w:b/>
        </w:rPr>
        <w:t>Contract Term</w:t>
      </w:r>
      <w:r>
        <w:rPr>
          <w:rFonts w:asciiTheme="majorHAnsi" w:hAnsiTheme="majorHAnsi"/>
          <w:b/>
        </w:rPr>
        <w:t>s</w:t>
      </w:r>
      <w:r w:rsidRPr="00F631C2">
        <w:rPr>
          <w:rFonts w:asciiTheme="majorHAnsi" w:hAnsiTheme="majorHAnsi"/>
        </w:rPr>
        <w:t xml:space="preserve"> –</w:t>
      </w:r>
      <w:r w:rsidRPr="00F631C2">
        <w:rPr>
          <w:rFonts w:asciiTheme="majorHAnsi" w:hAnsiTheme="majorHAnsi"/>
          <w:b/>
        </w:rPr>
        <w:t xml:space="preserve"> </w:t>
      </w:r>
      <w:r w:rsidRPr="00F631C2">
        <w:rPr>
          <w:rFonts w:asciiTheme="majorHAnsi" w:hAnsiTheme="majorHAnsi"/>
        </w:rPr>
        <w:t>Contract amendments are required to modify the terms of the original contract for changes such as</w:t>
      </w:r>
      <w:r w:rsidRPr="00AB3DAC">
        <w:rPr>
          <w:rFonts w:asciiTheme="majorHAnsi" w:hAnsiTheme="majorHAnsi"/>
        </w:rPr>
        <w:t>,</w:t>
      </w:r>
      <w:r w:rsidRPr="00F631C2">
        <w:rPr>
          <w:rFonts w:asciiTheme="majorHAnsi" w:hAnsiTheme="majorHAnsi"/>
        </w:rPr>
        <w:t xml:space="preserve"> extra time, added work, or increased costs</w:t>
      </w:r>
      <w:r w:rsidRPr="00AB3DAC">
        <w:rPr>
          <w:rFonts w:asciiTheme="majorHAnsi" w:hAnsiTheme="majorHAnsi"/>
        </w:rPr>
        <w:t>,</w:t>
      </w:r>
      <w:r w:rsidRPr="00F631C2">
        <w:rPr>
          <w:rFonts w:asciiTheme="majorHAnsi" w:hAnsiTheme="majorHAnsi"/>
        </w:rPr>
        <w:t xml:space="preserve"> and must be done prior to expiration of the original contract. Only work within the original advertised scope of services shall be added by amendment to the contract.</w:t>
      </w:r>
    </w:p>
    <w:p w14:paraId="59ECED9D" w14:textId="77777777" w:rsidR="00335130" w:rsidRPr="00F631C2" w:rsidRDefault="00335130" w:rsidP="00F044E2">
      <w:pPr>
        <w:pStyle w:val="ListParagraph"/>
        <w:rPr>
          <w:rFonts w:asciiTheme="majorHAnsi" w:hAnsiTheme="majorHAnsi"/>
        </w:rPr>
      </w:pPr>
    </w:p>
    <w:p w14:paraId="71649226" w14:textId="6DD41FE3" w:rsidR="00335130" w:rsidRDefault="001D2DFA" w:rsidP="00CD5E28">
      <w:pPr>
        <w:tabs>
          <w:tab w:val="right" w:leader="dot" w:pos="9000"/>
        </w:tabs>
        <w:rPr>
          <w:rFonts w:asciiTheme="majorHAnsi" w:hAnsiTheme="majorHAnsi"/>
        </w:rPr>
      </w:pPr>
      <w:r>
        <w:rPr>
          <w:rFonts w:asciiTheme="majorHAnsi" w:hAnsiTheme="majorHAnsi"/>
          <w:b/>
        </w:rPr>
        <w:t>Budget</w:t>
      </w:r>
      <w:r w:rsidR="00335130" w:rsidRPr="00F631C2">
        <w:rPr>
          <w:rFonts w:asciiTheme="majorHAnsi" w:hAnsiTheme="majorHAnsi"/>
        </w:rPr>
        <w:t xml:space="preserve"> –</w:t>
      </w:r>
      <w:r w:rsidR="00335130" w:rsidRPr="00AB3DAC">
        <w:rPr>
          <w:rFonts w:asciiTheme="majorHAnsi" w:hAnsiTheme="majorHAnsi"/>
        </w:rPr>
        <w:t xml:space="preserve"> </w:t>
      </w:r>
      <w:r w:rsidR="00335130" w:rsidRPr="00F631C2">
        <w:rPr>
          <w:rFonts w:asciiTheme="majorHAnsi" w:hAnsiTheme="majorHAnsi"/>
        </w:rPr>
        <w:t xml:space="preserve">The </w:t>
      </w:r>
      <w:r>
        <w:rPr>
          <w:rFonts w:asciiTheme="majorHAnsi" w:hAnsiTheme="majorHAnsi"/>
        </w:rPr>
        <w:t xml:space="preserve">Tehama County Transportation Commission has </w:t>
      </w:r>
      <w:r w:rsidRPr="001D2DFA">
        <w:rPr>
          <w:rFonts w:asciiTheme="majorHAnsi" w:hAnsiTheme="majorHAnsi"/>
        </w:rPr>
        <w:t>received a Safe Streets and Roads for All Action Plan grant from the U.S. Department of Transportation, which will fund, in part, this project. The budget is $</w:t>
      </w:r>
      <w:r>
        <w:rPr>
          <w:rFonts w:asciiTheme="majorHAnsi" w:hAnsiTheme="majorHAnsi"/>
        </w:rPr>
        <w:t>1</w:t>
      </w:r>
      <w:r w:rsidR="002A23F9">
        <w:rPr>
          <w:rFonts w:asciiTheme="majorHAnsi" w:hAnsiTheme="majorHAnsi"/>
        </w:rPr>
        <w:t>96</w:t>
      </w:r>
      <w:r>
        <w:rPr>
          <w:rFonts w:asciiTheme="majorHAnsi" w:hAnsiTheme="majorHAnsi"/>
        </w:rPr>
        <w:t>,0</w:t>
      </w:r>
      <w:r w:rsidRPr="001D2DFA">
        <w:rPr>
          <w:rFonts w:asciiTheme="majorHAnsi" w:hAnsiTheme="majorHAnsi"/>
        </w:rPr>
        <w:t>00.00 for this effort.</w:t>
      </w:r>
    </w:p>
    <w:p w14:paraId="6F582227" w14:textId="77777777" w:rsidR="009B31FD" w:rsidRDefault="009B31FD" w:rsidP="009B31FD">
      <w:pPr>
        <w:pStyle w:val="ListParagraph"/>
        <w:rPr>
          <w:rFonts w:asciiTheme="majorHAnsi" w:hAnsiTheme="majorHAnsi"/>
        </w:rPr>
      </w:pPr>
    </w:p>
    <w:p w14:paraId="1F71F2FB" w14:textId="411D7D81" w:rsidR="009B31FD" w:rsidRPr="00F631C2" w:rsidRDefault="009B31FD" w:rsidP="00CD5E28">
      <w:pPr>
        <w:tabs>
          <w:tab w:val="right" w:leader="dot" w:pos="9000"/>
        </w:tabs>
        <w:rPr>
          <w:rFonts w:asciiTheme="majorHAnsi" w:hAnsiTheme="majorHAnsi"/>
        </w:rPr>
      </w:pPr>
      <w:r w:rsidRPr="009B31FD">
        <w:rPr>
          <w:rFonts w:asciiTheme="majorHAnsi" w:hAnsiTheme="majorHAnsi"/>
          <w:b/>
          <w:bCs/>
        </w:rPr>
        <w:t>Method of Payment</w:t>
      </w:r>
      <w:r>
        <w:rPr>
          <w:rFonts w:asciiTheme="majorHAnsi" w:hAnsiTheme="majorHAnsi"/>
        </w:rPr>
        <w:t xml:space="preserve"> - </w:t>
      </w:r>
      <w:r w:rsidRPr="009B31FD">
        <w:rPr>
          <w:rFonts w:asciiTheme="majorHAnsi" w:hAnsiTheme="majorHAnsi"/>
        </w:rPr>
        <w:t xml:space="preserve">The anticipated contract shall be a fixed fee contract with a not to exceed amount.  The </w:t>
      </w:r>
      <w:r>
        <w:rPr>
          <w:rFonts w:asciiTheme="majorHAnsi" w:hAnsiTheme="majorHAnsi"/>
        </w:rPr>
        <w:t>Commission</w:t>
      </w:r>
      <w:r w:rsidRPr="009B31FD">
        <w:rPr>
          <w:rFonts w:asciiTheme="majorHAnsi" w:hAnsiTheme="majorHAnsi"/>
        </w:rPr>
        <w:t xml:space="preserve"> will also request an hourly rate schedule submitted from the selected consultant to evaluate progress payments based actual hours worked.   Progress payments may be made for reimbursement of amounts earned to date and shall include costs as specified in the contract.  These payments will be made upon the submission by the </w:t>
      </w:r>
      <w:r>
        <w:rPr>
          <w:rFonts w:asciiTheme="majorHAnsi" w:hAnsiTheme="majorHAnsi"/>
        </w:rPr>
        <w:t>Proposer</w:t>
      </w:r>
      <w:r w:rsidRPr="009B31FD">
        <w:rPr>
          <w:rFonts w:asciiTheme="majorHAnsi" w:hAnsiTheme="majorHAnsi"/>
        </w:rPr>
        <w:t xml:space="preserve"> of a billing, accompanied by properly completed reporting forms and such other evidence of progress as may be required by the </w:t>
      </w:r>
      <w:r>
        <w:rPr>
          <w:rFonts w:asciiTheme="majorHAnsi" w:hAnsiTheme="majorHAnsi"/>
        </w:rPr>
        <w:t>Commission</w:t>
      </w:r>
      <w:r w:rsidRPr="009B31FD">
        <w:rPr>
          <w:rFonts w:asciiTheme="majorHAnsi" w:hAnsiTheme="majorHAnsi"/>
        </w:rPr>
        <w:t xml:space="preserve">. Partial </w:t>
      </w:r>
      <w:r w:rsidRPr="009B31FD">
        <w:rPr>
          <w:rFonts w:asciiTheme="majorHAnsi" w:hAnsiTheme="majorHAnsi"/>
        </w:rPr>
        <w:lastRenderedPageBreak/>
        <w:t>payments shall be made only on</w:t>
      </w:r>
      <w:r>
        <w:rPr>
          <w:rFonts w:asciiTheme="majorHAnsi" w:hAnsiTheme="majorHAnsi"/>
        </w:rPr>
        <w:t>c</w:t>
      </w:r>
      <w:r w:rsidRPr="009B31FD">
        <w:rPr>
          <w:rFonts w:asciiTheme="majorHAnsi" w:hAnsiTheme="majorHAnsi"/>
        </w:rPr>
        <w:t xml:space="preserve">e a month. Final billing shall be submitted in a timely manner but not later than three (3) months after completion of the services.  </w:t>
      </w:r>
    </w:p>
    <w:p w14:paraId="3A47AE25" w14:textId="77777777" w:rsidR="00335130" w:rsidRPr="00F631C2" w:rsidRDefault="00335130" w:rsidP="00F044E2">
      <w:pPr>
        <w:tabs>
          <w:tab w:val="right" w:leader="dot" w:pos="9000"/>
        </w:tabs>
        <w:rPr>
          <w:rFonts w:asciiTheme="majorHAnsi" w:hAnsiTheme="majorHAnsi"/>
        </w:rPr>
      </w:pPr>
    </w:p>
    <w:p w14:paraId="6AF0A279" w14:textId="1AEE2EAB" w:rsidR="00335130" w:rsidRPr="00CD5E28" w:rsidRDefault="00335130" w:rsidP="00CD5E28">
      <w:pPr>
        <w:rPr>
          <w:rFonts w:asciiTheme="majorHAnsi" w:hAnsiTheme="majorHAnsi"/>
        </w:rPr>
      </w:pPr>
      <w:r w:rsidRPr="00CD5E28">
        <w:rPr>
          <w:rFonts w:asciiTheme="majorHAnsi" w:hAnsiTheme="majorHAnsi"/>
          <w:b/>
        </w:rPr>
        <w:t>Conflict of Interest Requirements</w:t>
      </w:r>
      <w:r w:rsidRPr="00CD5E28">
        <w:rPr>
          <w:rFonts w:asciiTheme="majorHAnsi" w:hAnsiTheme="majorHAnsi"/>
        </w:rPr>
        <w:t xml:space="preserve"> – The </w:t>
      </w:r>
      <w:r w:rsidR="007D1B80" w:rsidRPr="00CD5E28">
        <w:rPr>
          <w:rFonts w:asciiTheme="majorHAnsi" w:hAnsiTheme="majorHAnsi"/>
        </w:rPr>
        <w:t>PROPOSER</w:t>
      </w:r>
      <w:r w:rsidRPr="00CD5E28">
        <w:rPr>
          <w:rFonts w:asciiTheme="majorHAnsi" w:hAnsiTheme="majorHAnsi"/>
        </w:rPr>
        <w:t xml:space="preserve"> shall also provide possible mitigation efforts, if any, to eliminate or avoid any actual or perceived conflicts of interest.</w:t>
      </w:r>
    </w:p>
    <w:p w14:paraId="40E8007D" w14:textId="77777777" w:rsidR="001E384C" w:rsidRDefault="001E384C" w:rsidP="001E384C">
      <w:pPr>
        <w:pStyle w:val="ListParagraph"/>
        <w:rPr>
          <w:rFonts w:asciiTheme="majorHAnsi" w:hAnsiTheme="majorHAnsi"/>
        </w:rPr>
      </w:pPr>
    </w:p>
    <w:p w14:paraId="48A04938" w14:textId="77777777" w:rsidR="001E384C" w:rsidRPr="00CD5E28" w:rsidRDefault="001E384C" w:rsidP="00CD5E28">
      <w:pPr>
        <w:rPr>
          <w:rFonts w:asciiTheme="majorHAnsi" w:hAnsiTheme="majorHAnsi"/>
        </w:rPr>
      </w:pPr>
      <w:r w:rsidRPr="00CD5E28">
        <w:rPr>
          <w:rFonts w:asciiTheme="majorHAnsi" w:hAnsiTheme="majorHAnsi"/>
          <w:b/>
          <w:bCs/>
        </w:rPr>
        <w:t xml:space="preserve">Reporting Requirements - </w:t>
      </w:r>
      <w:r w:rsidRPr="00CD5E28">
        <w:rPr>
          <w:rFonts w:asciiTheme="majorHAnsi" w:hAnsiTheme="majorHAnsi"/>
        </w:rPr>
        <w:t xml:space="preserve">As recipients of the FY23 Safe Streets and Roads for All (SS4A) Action Plan Grant, we will follow the Federal Highway Administration (FHWA) process and requirements throughout this project. This includes following required invoicing schedules and a detailed breakout of all costs. Firms should be familiar with 2 CFR Part 200 requirement for Federal Awards and provide the necessary information and complete the reimbursement package such that the Township may easily submit for reimbursement. When submitting progress reports, the firm will be required to outline the following: </w:t>
      </w:r>
    </w:p>
    <w:p w14:paraId="4825CCEC" w14:textId="77777777" w:rsidR="001E384C" w:rsidRPr="001E384C" w:rsidRDefault="001E384C" w:rsidP="001E384C">
      <w:pPr>
        <w:pStyle w:val="ListParagraph"/>
        <w:rPr>
          <w:rFonts w:asciiTheme="majorHAnsi" w:hAnsiTheme="majorHAnsi"/>
        </w:rPr>
      </w:pPr>
    </w:p>
    <w:p w14:paraId="0C4E5696" w14:textId="77777777" w:rsidR="001E384C" w:rsidRDefault="001E384C" w:rsidP="001E384C">
      <w:pPr>
        <w:pStyle w:val="ListParagraph"/>
        <w:numPr>
          <w:ilvl w:val="1"/>
          <w:numId w:val="44"/>
        </w:numPr>
        <w:rPr>
          <w:rFonts w:asciiTheme="majorHAnsi" w:hAnsiTheme="majorHAnsi"/>
        </w:rPr>
      </w:pPr>
      <w:r w:rsidRPr="001E384C">
        <w:rPr>
          <w:rFonts w:asciiTheme="majorHAnsi" w:hAnsiTheme="majorHAnsi"/>
        </w:rPr>
        <w:t>Performed work</w:t>
      </w:r>
    </w:p>
    <w:p w14:paraId="05891D1B" w14:textId="77777777" w:rsidR="001E384C" w:rsidRDefault="001E384C" w:rsidP="001E384C">
      <w:pPr>
        <w:pStyle w:val="ListParagraph"/>
        <w:numPr>
          <w:ilvl w:val="1"/>
          <w:numId w:val="44"/>
        </w:numPr>
        <w:rPr>
          <w:rFonts w:asciiTheme="majorHAnsi" w:hAnsiTheme="majorHAnsi"/>
        </w:rPr>
      </w:pPr>
      <w:r w:rsidRPr="001E384C">
        <w:rPr>
          <w:rFonts w:asciiTheme="majorHAnsi" w:hAnsiTheme="majorHAnsi"/>
        </w:rPr>
        <w:t xml:space="preserve">Upcoming tasks or milestones </w:t>
      </w:r>
    </w:p>
    <w:p w14:paraId="6AB9FD8A" w14:textId="77777777" w:rsidR="001E384C" w:rsidRDefault="001E384C" w:rsidP="001E384C">
      <w:pPr>
        <w:pStyle w:val="ListParagraph"/>
        <w:numPr>
          <w:ilvl w:val="1"/>
          <w:numId w:val="44"/>
        </w:numPr>
        <w:rPr>
          <w:rFonts w:asciiTheme="majorHAnsi" w:hAnsiTheme="majorHAnsi"/>
        </w:rPr>
      </w:pPr>
      <w:r w:rsidRPr="001E384C">
        <w:rPr>
          <w:rFonts w:asciiTheme="majorHAnsi" w:hAnsiTheme="majorHAnsi"/>
        </w:rPr>
        <w:t xml:space="preserve">Status of scope, schedule, and budget </w:t>
      </w:r>
    </w:p>
    <w:p w14:paraId="06FE8C9F" w14:textId="65EF4F4C" w:rsidR="001E384C" w:rsidRPr="001E384C" w:rsidRDefault="001E384C" w:rsidP="001E384C">
      <w:pPr>
        <w:pStyle w:val="ListParagraph"/>
        <w:numPr>
          <w:ilvl w:val="1"/>
          <w:numId w:val="44"/>
        </w:numPr>
        <w:rPr>
          <w:rFonts w:asciiTheme="majorHAnsi" w:hAnsiTheme="majorHAnsi"/>
        </w:rPr>
      </w:pPr>
      <w:r w:rsidRPr="001E384C">
        <w:rPr>
          <w:rFonts w:asciiTheme="majorHAnsi" w:hAnsiTheme="majorHAnsi"/>
        </w:rPr>
        <w:t xml:space="preserve">Risk assessment and proposed mitigation Invoices and coinciding progress reports must be submitted to the </w:t>
      </w:r>
      <w:r>
        <w:rPr>
          <w:rFonts w:asciiTheme="majorHAnsi" w:hAnsiTheme="majorHAnsi"/>
        </w:rPr>
        <w:t>Commission</w:t>
      </w:r>
      <w:r w:rsidRPr="001E384C">
        <w:rPr>
          <w:rFonts w:asciiTheme="majorHAnsi" w:hAnsiTheme="majorHAnsi"/>
        </w:rPr>
        <w:t xml:space="preserve"> no later than 15 days after the end of each reporting period. The FHWA requires quarterly reporting per the grant agreement. The following schedule is the minimum submission reequipment from the selected firm, however, firms are encouraged to submit invoices on a monthly basis.</w:t>
      </w:r>
    </w:p>
    <w:p w14:paraId="2C95DE6A" w14:textId="77777777" w:rsidR="00335130" w:rsidRPr="001E384C" w:rsidRDefault="00335130" w:rsidP="00F044E2"/>
    <w:p w14:paraId="08255DC4" w14:textId="77777777" w:rsidR="000B5740" w:rsidRPr="00670F68" w:rsidRDefault="000B5740" w:rsidP="00F044E2">
      <w:pPr>
        <w:tabs>
          <w:tab w:val="right" w:leader="dot" w:pos="9000"/>
        </w:tabs>
        <w:rPr>
          <w:rFonts w:asciiTheme="majorHAnsi" w:hAnsiTheme="majorHAnsi"/>
        </w:rPr>
      </w:pPr>
    </w:p>
    <w:p w14:paraId="7030CCFE" w14:textId="793FCE65" w:rsidR="00747DCE" w:rsidRPr="00670F68" w:rsidRDefault="00CB3174" w:rsidP="00F044E2">
      <w:pPr>
        <w:spacing w:after="200" w:line="276" w:lineRule="auto"/>
        <w:rPr>
          <w:rFonts w:asciiTheme="majorHAnsi" w:hAnsiTheme="majorHAnsi"/>
        </w:rPr>
      </w:pPr>
      <w:r w:rsidRPr="00BF6172">
        <w:rPr>
          <w:rFonts w:asciiTheme="majorHAnsi" w:hAnsiTheme="majorHAnsi"/>
          <w:b/>
        </w:rPr>
        <w:t>Minimum Qualifications of Personnel</w:t>
      </w:r>
      <w:r w:rsidR="00747DCE" w:rsidRPr="00BF6172">
        <w:rPr>
          <w:rFonts w:asciiTheme="majorHAnsi" w:hAnsiTheme="majorHAnsi"/>
        </w:rPr>
        <w:t xml:space="preserve"> – </w:t>
      </w:r>
      <w:r w:rsidR="007D1B80" w:rsidRPr="00BF6172">
        <w:rPr>
          <w:rFonts w:asciiTheme="majorHAnsi" w:hAnsiTheme="majorHAnsi"/>
        </w:rPr>
        <w:t>PROPOSER</w:t>
      </w:r>
      <w:r w:rsidR="00747DCE" w:rsidRPr="00BF6172">
        <w:rPr>
          <w:rFonts w:asciiTheme="majorHAnsi" w:hAnsiTheme="majorHAnsi"/>
        </w:rPr>
        <w:t xml:space="preserve"> shall meet the appropriate minimum qualifications as required by this </w:t>
      </w:r>
      <w:r w:rsidR="00BD34BD" w:rsidRPr="00BF6172">
        <w:rPr>
          <w:rFonts w:asciiTheme="majorHAnsi" w:hAnsiTheme="majorHAnsi"/>
        </w:rPr>
        <w:t>RFP</w:t>
      </w:r>
      <w:r w:rsidR="00747DCE" w:rsidRPr="00BF6172">
        <w:rPr>
          <w:rFonts w:asciiTheme="majorHAnsi" w:hAnsiTheme="majorHAnsi"/>
        </w:rPr>
        <w:t>.</w:t>
      </w:r>
    </w:p>
    <w:p w14:paraId="6C79888C" w14:textId="04EB329F" w:rsidR="00EB0149" w:rsidRPr="00670F68" w:rsidRDefault="0019790D" w:rsidP="00F044E2">
      <w:pPr>
        <w:pStyle w:val="PlainText"/>
        <w:rPr>
          <w:rFonts w:asciiTheme="majorHAnsi" w:hAnsiTheme="majorHAnsi"/>
          <w:sz w:val="24"/>
          <w:szCs w:val="24"/>
        </w:rPr>
      </w:pPr>
      <w:r w:rsidRPr="00670F68">
        <w:rPr>
          <w:rFonts w:asciiTheme="majorHAnsi" w:hAnsiTheme="majorHAnsi"/>
          <w:b/>
          <w:sz w:val="24"/>
          <w:szCs w:val="24"/>
        </w:rPr>
        <w:t>Materia</w:t>
      </w:r>
      <w:r w:rsidR="00EB0149" w:rsidRPr="00670F68">
        <w:rPr>
          <w:rFonts w:asciiTheme="majorHAnsi" w:hAnsiTheme="majorHAnsi"/>
          <w:b/>
          <w:sz w:val="24"/>
          <w:szCs w:val="24"/>
        </w:rPr>
        <w:t xml:space="preserve">ls </w:t>
      </w:r>
      <w:r w:rsidR="009B3E69" w:rsidRPr="00AB3DAC">
        <w:rPr>
          <w:rFonts w:asciiTheme="majorHAnsi" w:hAnsiTheme="majorHAnsi"/>
          <w:b/>
          <w:sz w:val="24"/>
          <w:szCs w:val="24"/>
        </w:rPr>
        <w:t>T</w:t>
      </w:r>
      <w:r w:rsidR="00EB0149" w:rsidRPr="00670F68">
        <w:rPr>
          <w:rFonts w:asciiTheme="majorHAnsi" w:hAnsiTheme="majorHAnsi"/>
          <w:b/>
          <w:sz w:val="24"/>
          <w:szCs w:val="24"/>
        </w:rPr>
        <w:t xml:space="preserve">o </w:t>
      </w:r>
      <w:r w:rsidR="009B3E69" w:rsidRPr="00AB3DAC">
        <w:rPr>
          <w:rFonts w:asciiTheme="majorHAnsi" w:hAnsiTheme="majorHAnsi"/>
          <w:b/>
          <w:sz w:val="24"/>
          <w:szCs w:val="24"/>
        </w:rPr>
        <w:t>B</w:t>
      </w:r>
      <w:r w:rsidR="00EB0149" w:rsidRPr="00670F68">
        <w:rPr>
          <w:rFonts w:asciiTheme="majorHAnsi" w:hAnsiTheme="majorHAnsi"/>
          <w:b/>
          <w:sz w:val="24"/>
          <w:szCs w:val="24"/>
        </w:rPr>
        <w:t xml:space="preserve">e </w:t>
      </w:r>
      <w:r w:rsidR="009B3E69" w:rsidRPr="00AB3DAC">
        <w:rPr>
          <w:rFonts w:asciiTheme="majorHAnsi" w:hAnsiTheme="majorHAnsi"/>
          <w:b/>
          <w:sz w:val="24"/>
          <w:szCs w:val="24"/>
        </w:rPr>
        <w:t>P</w:t>
      </w:r>
      <w:r w:rsidR="00EB0149" w:rsidRPr="00670F68">
        <w:rPr>
          <w:rFonts w:asciiTheme="majorHAnsi" w:hAnsiTheme="majorHAnsi"/>
          <w:b/>
          <w:sz w:val="24"/>
          <w:szCs w:val="24"/>
        </w:rPr>
        <w:t xml:space="preserve">rovided </w:t>
      </w:r>
      <w:r w:rsidR="009B3E69" w:rsidRPr="00AB3DAC">
        <w:rPr>
          <w:rFonts w:asciiTheme="majorHAnsi" w:hAnsiTheme="majorHAnsi"/>
          <w:b/>
          <w:sz w:val="24"/>
          <w:szCs w:val="24"/>
        </w:rPr>
        <w:t>B</w:t>
      </w:r>
      <w:r w:rsidR="00EB0149" w:rsidRPr="00670F68">
        <w:rPr>
          <w:rFonts w:asciiTheme="majorHAnsi" w:hAnsiTheme="majorHAnsi"/>
          <w:b/>
          <w:sz w:val="24"/>
          <w:szCs w:val="24"/>
        </w:rPr>
        <w:t xml:space="preserve">y </w:t>
      </w:r>
      <w:r w:rsidR="009B3E69" w:rsidRPr="00AB3DAC">
        <w:rPr>
          <w:rFonts w:asciiTheme="majorHAnsi" w:hAnsiTheme="majorHAnsi"/>
          <w:b/>
          <w:sz w:val="24"/>
          <w:szCs w:val="24"/>
        </w:rPr>
        <w:t>T</w:t>
      </w:r>
      <w:r w:rsidR="00EB0149" w:rsidRPr="00670F68">
        <w:rPr>
          <w:rFonts w:asciiTheme="majorHAnsi" w:hAnsiTheme="majorHAnsi"/>
          <w:b/>
          <w:sz w:val="24"/>
          <w:szCs w:val="24"/>
        </w:rPr>
        <w:t>he Agency</w:t>
      </w:r>
      <w:r w:rsidR="00EB0149" w:rsidRPr="00AB3DAC">
        <w:rPr>
          <w:rFonts w:asciiTheme="majorHAnsi" w:hAnsiTheme="majorHAnsi"/>
          <w:snapToGrid w:val="0"/>
          <w:sz w:val="24"/>
          <w:szCs w:val="24"/>
        </w:rPr>
        <w:t xml:space="preserve"> </w:t>
      </w:r>
      <w:r w:rsidR="001A6852" w:rsidRPr="00AB3DAC">
        <w:rPr>
          <w:rFonts w:asciiTheme="majorHAnsi" w:hAnsiTheme="majorHAnsi"/>
          <w:snapToGrid w:val="0"/>
          <w:sz w:val="24"/>
          <w:szCs w:val="24"/>
        </w:rPr>
        <w:t>–</w:t>
      </w:r>
      <w:r w:rsidR="00EB0149" w:rsidRPr="00670F68">
        <w:rPr>
          <w:rFonts w:asciiTheme="majorHAnsi" w:hAnsiTheme="majorHAnsi"/>
          <w:snapToGrid w:val="0"/>
          <w:sz w:val="24"/>
          <w:szCs w:val="24"/>
        </w:rPr>
        <w:t xml:space="preserve"> </w:t>
      </w:r>
      <w:r w:rsidR="007D1B80">
        <w:rPr>
          <w:rFonts w:asciiTheme="majorHAnsi" w:hAnsiTheme="majorHAnsi"/>
          <w:snapToGrid w:val="0"/>
          <w:sz w:val="24"/>
          <w:szCs w:val="24"/>
        </w:rPr>
        <w:t>PROPOSER</w:t>
      </w:r>
      <w:r w:rsidR="00EB0149" w:rsidRPr="00670F68">
        <w:rPr>
          <w:rFonts w:asciiTheme="majorHAnsi" w:hAnsiTheme="majorHAnsi"/>
          <w:snapToGrid w:val="0"/>
          <w:sz w:val="24"/>
          <w:szCs w:val="24"/>
        </w:rPr>
        <w:t xml:space="preserve"> shall provide all materials to complete the required work in accordance with the delivery schedule and cost estimate</w:t>
      </w:r>
      <w:r w:rsidR="00372B6A" w:rsidRPr="00AB3DAC">
        <w:rPr>
          <w:rFonts w:asciiTheme="majorHAnsi" w:hAnsiTheme="majorHAnsi"/>
          <w:snapToGrid w:val="0"/>
          <w:sz w:val="24"/>
          <w:szCs w:val="24"/>
        </w:rPr>
        <w:t>s</w:t>
      </w:r>
      <w:r w:rsidR="00EB0149" w:rsidRPr="00670F68">
        <w:rPr>
          <w:rFonts w:asciiTheme="majorHAnsi" w:hAnsiTheme="majorHAnsi"/>
          <w:snapToGrid w:val="0"/>
          <w:sz w:val="24"/>
          <w:szCs w:val="24"/>
        </w:rPr>
        <w:t>. Materials (if deemed applicable</w:t>
      </w:r>
      <w:r w:rsidR="00EB0149" w:rsidRPr="00CD5E28">
        <w:rPr>
          <w:rFonts w:asciiTheme="majorHAnsi" w:hAnsiTheme="majorHAnsi"/>
          <w:snapToGrid w:val="0"/>
          <w:sz w:val="24"/>
          <w:szCs w:val="24"/>
        </w:rPr>
        <w:t>, necessary, and when available from the</w:t>
      </w:r>
      <w:r w:rsidR="000D0F8A" w:rsidRPr="00CD5E28">
        <w:rPr>
          <w:rFonts w:asciiTheme="majorHAnsi" w:hAnsiTheme="majorHAnsi"/>
          <w:snapToGrid w:val="0"/>
          <w:sz w:val="24"/>
          <w:szCs w:val="24"/>
        </w:rPr>
        <w:t xml:space="preserve"> agency)</w:t>
      </w:r>
      <w:r w:rsidR="00EB0149" w:rsidRPr="00CD5E28">
        <w:rPr>
          <w:rFonts w:asciiTheme="majorHAnsi" w:hAnsiTheme="majorHAnsi"/>
          <w:snapToGrid w:val="0"/>
          <w:sz w:val="24"/>
          <w:szCs w:val="24"/>
        </w:rPr>
        <w:t xml:space="preserve"> that may be furnished or made available by </w:t>
      </w:r>
      <w:r w:rsidR="00CD365C" w:rsidRPr="00CD5E28">
        <w:rPr>
          <w:rFonts w:asciiTheme="majorHAnsi" w:hAnsiTheme="majorHAnsi"/>
          <w:color w:val="000000"/>
          <w:sz w:val="24"/>
          <w:szCs w:val="24"/>
        </w:rPr>
        <w:t>Commission</w:t>
      </w:r>
      <w:r w:rsidR="00C8450C" w:rsidRPr="00CD5E28">
        <w:rPr>
          <w:rFonts w:asciiTheme="majorHAnsi" w:hAnsiTheme="majorHAnsi"/>
          <w:snapToGrid w:val="0"/>
          <w:sz w:val="24"/>
          <w:szCs w:val="24"/>
        </w:rPr>
        <w:t xml:space="preserve"> </w:t>
      </w:r>
      <w:r w:rsidR="00EB0149" w:rsidRPr="00CD5E28">
        <w:rPr>
          <w:rFonts w:asciiTheme="majorHAnsi" w:hAnsiTheme="majorHAnsi"/>
          <w:snapToGrid w:val="0"/>
          <w:sz w:val="24"/>
          <w:szCs w:val="24"/>
        </w:rPr>
        <w:t xml:space="preserve">and where listed in </w:t>
      </w:r>
      <w:r w:rsidR="00372B6A" w:rsidRPr="00CD5E28">
        <w:rPr>
          <w:rFonts w:asciiTheme="majorHAnsi" w:hAnsiTheme="majorHAnsi"/>
          <w:snapToGrid w:val="0"/>
          <w:sz w:val="24"/>
          <w:szCs w:val="24"/>
        </w:rPr>
        <w:t>t</w:t>
      </w:r>
      <w:r w:rsidR="00EB0149" w:rsidRPr="00CD5E28">
        <w:rPr>
          <w:rFonts w:asciiTheme="majorHAnsi" w:hAnsiTheme="majorHAnsi"/>
          <w:snapToGrid w:val="0"/>
          <w:sz w:val="24"/>
          <w:szCs w:val="24"/>
        </w:rPr>
        <w:t xml:space="preserve">his Contract, are for the </w:t>
      </w:r>
      <w:r w:rsidR="007D1B80" w:rsidRPr="00CD5E28">
        <w:rPr>
          <w:rFonts w:asciiTheme="majorHAnsi" w:hAnsiTheme="majorHAnsi"/>
          <w:snapToGrid w:val="0"/>
          <w:sz w:val="24"/>
          <w:szCs w:val="24"/>
        </w:rPr>
        <w:t>PROPOSER</w:t>
      </w:r>
      <w:r w:rsidR="00EB0149" w:rsidRPr="00CD5E28">
        <w:rPr>
          <w:rFonts w:asciiTheme="majorHAnsi" w:hAnsiTheme="majorHAnsi"/>
          <w:snapToGrid w:val="0"/>
          <w:sz w:val="24"/>
          <w:szCs w:val="24"/>
        </w:rPr>
        <w:t xml:space="preserve">’s use </w:t>
      </w:r>
      <w:r w:rsidR="00426C3D" w:rsidRPr="00CD5E28">
        <w:rPr>
          <w:rFonts w:asciiTheme="majorHAnsi" w:hAnsiTheme="majorHAnsi"/>
          <w:snapToGrid w:val="0"/>
          <w:sz w:val="24"/>
          <w:szCs w:val="24"/>
        </w:rPr>
        <w:t>only and</w:t>
      </w:r>
      <w:r w:rsidR="00F01FCA" w:rsidRPr="00CD5E28">
        <w:rPr>
          <w:rFonts w:asciiTheme="majorHAnsi" w:hAnsiTheme="majorHAnsi"/>
          <w:snapToGrid w:val="0"/>
          <w:sz w:val="24"/>
          <w:szCs w:val="24"/>
        </w:rPr>
        <w:t xml:space="preserve"> </w:t>
      </w:r>
      <w:r w:rsidR="00EB0149" w:rsidRPr="00CD5E28">
        <w:rPr>
          <w:rFonts w:asciiTheme="majorHAnsi" w:hAnsiTheme="majorHAnsi"/>
          <w:snapToGrid w:val="0"/>
          <w:sz w:val="24"/>
          <w:szCs w:val="24"/>
        </w:rPr>
        <w:t>shall be returned at the</w:t>
      </w:r>
      <w:r w:rsidR="00EB0149" w:rsidRPr="00670F68">
        <w:rPr>
          <w:rFonts w:asciiTheme="majorHAnsi" w:hAnsiTheme="majorHAnsi"/>
          <w:snapToGrid w:val="0"/>
          <w:sz w:val="24"/>
          <w:szCs w:val="24"/>
        </w:rPr>
        <w:t xml:space="preserve"> end of the Contract.</w:t>
      </w:r>
      <w:r w:rsidR="00EB0149" w:rsidRPr="00670F68">
        <w:rPr>
          <w:rFonts w:asciiTheme="majorHAnsi" w:hAnsiTheme="majorHAnsi"/>
          <w:sz w:val="24"/>
          <w:szCs w:val="24"/>
        </w:rPr>
        <w:t xml:space="preserve">  </w:t>
      </w:r>
    </w:p>
    <w:p w14:paraId="0BAE522B" w14:textId="77777777" w:rsidR="00EB0149" w:rsidRDefault="00EB0149" w:rsidP="00F044E2">
      <w:pPr>
        <w:spacing w:after="200" w:line="276" w:lineRule="auto"/>
        <w:rPr>
          <w:rFonts w:asciiTheme="majorHAnsi" w:hAnsiTheme="majorHAnsi"/>
          <w:b/>
        </w:rPr>
      </w:pPr>
    </w:p>
    <w:p w14:paraId="0363319C" w14:textId="77777777" w:rsidR="003966C5" w:rsidRPr="003966C5" w:rsidRDefault="003966C5" w:rsidP="003966C5">
      <w:pPr>
        <w:spacing w:after="200" w:line="276" w:lineRule="auto"/>
        <w:rPr>
          <w:rFonts w:asciiTheme="majorHAnsi" w:hAnsiTheme="majorHAnsi"/>
          <w:b/>
        </w:rPr>
      </w:pPr>
      <w:r w:rsidRPr="003966C5">
        <w:rPr>
          <w:rFonts w:asciiTheme="majorHAnsi" w:hAnsiTheme="majorHAnsi"/>
          <w:b/>
        </w:rPr>
        <w:t>Period of Performance.</w:t>
      </w:r>
    </w:p>
    <w:p w14:paraId="0F72D90F" w14:textId="71998CDE" w:rsidR="003966C5" w:rsidRPr="003966C5" w:rsidRDefault="003966C5" w:rsidP="003966C5">
      <w:pPr>
        <w:spacing w:after="200" w:line="276" w:lineRule="auto"/>
        <w:rPr>
          <w:rFonts w:asciiTheme="majorHAnsi" w:hAnsiTheme="majorHAnsi"/>
          <w:bCs/>
        </w:rPr>
      </w:pPr>
      <w:r w:rsidRPr="003966C5">
        <w:rPr>
          <w:rFonts w:asciiTheme="majorHAnsi" w:hAnsiTheme="majorHAnsi"/>
          <w:bCs/>
        </w:rPr>
        <w:t>The term of any agreement resulting from this RFP shall be eighteen (18) months from the date of Notice to Proceed, with two (2) optional extension periods of up to six (6) months each, exercisable at the sole discretion of the Commission</w:t>
      </w:r>
      <w:r>
        <w:rPr>
          <w:rFonts w:asciiTheme="majorHAnsi" w:hAnsiTheme="majorHAnsi"/>
          <w:bCs/>
        </w:rPr>
        <w:t>.</w:t>
      </w:r>
    </w:p>
    <w:p w14:paraId="43FDCE72" w14:textId="77777777" w:rsidR="003966C5" w:rsidRPr="003966C5" w:rsidRDefault="003966C5" w:rsidP="003966C5">
      <w:pPr>
        <w:spacing w:after="200" w:line="276" w:lineRule="auto"/>
        <w:rPr>
          <w:rFonts w:asciiTheme="majorHAnsi" w:hAnsiTheme="majorHAnsi"/>
          <w:bCs/>
        </w:rPr>
      </w:pPr>
      <w:r w:rsidRPr="003966C5">
        <w:rPr>
          <w:rFonts w:asciiTheme="majorHAnsi" w:hAnsiTheme="majorHAnsi"/>
          <w:bCs/>
        </w:rPr>
        <w:t>The Commission anticipates Action Plan adoption by the TCTC Board within the initial eighteen (18) month performance period, with final closeout deliverables and reimbursement documentation submitted within ninety (90) days thereafter.</w:t>
      </w:r>
    </w:p>
    <w:p w14:paraId="46DC3015" w14:textId="7AE5B584" w:rsidR="003966C5" w:rsidRPr="003966C5" w:rsidRDefault="003966C5" w:rsidP="003966C5">
      <w:pPr>
        <w:spacing w:after="200" w:line="276" w:lineRule="auto"/>
        <w:rPr>
          <w:rFonts w:asciiTheme="majorHAnsi" w:hAnsiTheme="majorHAnsi"/>
          <w:bCs/>
        </w:rPr>
      </w:pPr>
      <w:r w:rsidRPr="003966C5">
        <w:rPr>
          <w:rFonts w:asciiTheme="majorHAnsi" w:hAnsiTheme="majorHAnsi"/>
          <w:bCs/>
        </w:rPr>
        <w:lastRenderedPageBreak/>
        <w:t>The Period of Performance, schedule milestones, and any associated dates set forth in this RFP are estimates and are subject to change. The Commission reserves the right to modify the Period of Performance, schedule, scope, or any other element of the resulting agreement as may be necessary to: (a) accommodate the actual contract execution date; (b) align with the period of performance established in the executed SS4A Grant Agreement between FHWA and the Commission; (c) respond to FHWA, Caltrans, or other regulatory direction; (d) address unforeseen circumstances affecting project delivery; or (e) reflect the mutual agreement of the parties. Any modification to the Period of Performance shall be made by written amendment to the agreement, executed by both parties.</w:t>
      </w:r>
    </w:p>
    <w:p w14:paraId="2B18EC64" w14:textId="77777777" w:rsidR="00530490" w:rsidRPr="00670F68" w:rsidRDefault="00530490" w:rsidP="00F044E2">
      <w:pPr>
        <w:spacing w:after="200" w:line="276" w:lineRule="auto"/>
        <w:rPr>
          <w:rFonts w:asciiTheme="majorHAnsi" w:hAnsiTheme="majorHAnsi"/>
          <w:b/>
        </w:rPr>
      </w:pPr>
    </w:p>
    <w:p w14:paraId="763190D1" w14:textId="162F8C91" w:rsidR="00AC0E1F" w:rsidRPr="00670F68" w:rsidRDefault="00AC0E1F">
      <w:pPr>
        <w:rPr>
          <w:rFonts w:asciiTheme="majorHAnsi" w:hAnsiTheme="majorHAnsi"/>
          <w:b/>
        </w:rPr>
      </w:pPr>
      <w:r w:rsidRPr="00670F68">
        <w:rPr>
          <w:rFonts w:asciiTheme="majorHAnsi" w:hAnsiTheme="majorHAnsi"/>
          <w:b/>
        </w:rPr>
        <w:br w:type="page"/>
      </w:r>
    </w:p>
    <w:p w14:paraId="54143A37" w14:textId="2CFF5367" w:rsidR="00580094" w:rsidRPr="002A23F9" w:rsidRDefault="00F1198D" w:rsidP="002A23F9">
      <w:pPr>
        <w:spacing w:after="200" w:line="276" w:lineRule="auto"/>
        <w:jc w:val="center"/>
        <w:rPr>
          <w:rFonts w:asciiTheme="majorHAnsi" w:hAnsiTheme="majorHAnsi"/>
        </w:rPr>
      </w:pPr>
      <w:r w:rsidRPr="00670F68">
        <w:rPr>
          <w:rFonts w:asciiTheme="majorHAnsi" w:hAnsiTheme="majorHAnsi"/>
          <w:b/>
        </w:rPr>
        <w:lastRenderedPageBreak/>
        <w:t>AP</w:t>
      </w:r>
      <w:r w:rsidR="00580094" w:rsidRPr="00670F68">
        <w:rPr>
          <w:rFonts w:asciiTheme="majorHAnsi" w:hAnsiTheme="majorHAnsi"/>
          <w:b/>
        </w:rPr>
        <w:t xml:space="preserve">PENDIX </w:t>
      </w:r>
      <w:r w:rsidR="00CB5DC1" w:rsidRPr="00670F68">
        <w:rPr>
          <w:rFonts w:asciiTheme="majorHAnsi" w:hAnsiTheme="majorHAnsi"/>
          <w:b/>
        </w:rPr>
        <w:t>A</w:t>
      </w:r>
      <w:r w:rsidR="00580094" w:rsidRPr="00670F68">
        <w:rPr>
          <w:rFonts w:asciiTheme="majorHAnsi" w:hAnsiTheme="majorHAnsi"/>
          <w:b/>
        </w:rPr>
        <w:t xml:space="preserve"> – </w:t>
      </w:r>
      <w:r w:rsidR="00920D66" w:rsidRPr="00670F68">
        <w:rPr>
          <w:rFonts w:asciiTheme="majorHAnsi" w:hAnsiTheme="majorHAnsi"/>
          <w:b/>
        </w:rPr>
        <w:t>PROPOSAL</w:t>
      </w:r>
      <w:r w:rsidR="006655F4" w:rsidRPr="00670F68">
        <w:rPr>
          <w:rFonts w:asciiTheme="majorHAnsi" w:hAnsiTheme="majorHAnsi"/>
          <w:b/>
        </w:rPr>
        <w:t xml:space="preserve"> </w:t>
      </w:r>
      <w:r w:rsidR="00580094" w:rsidRPr="00670F68">
        <w:rPr>
          <w:rFonts w:asciiTheme="majorHAnsi" w:hAnsiTheme="majorHAnsi"/>
          <w:b/>
        </w:rPr>
        <w:t>REQUIREMENTS</w:t>
      </w:r>
      <w:r w:rsidR="002A23F9">
        <w:rPr>
          <w:rFonts w:asciiTheme="majorHAnsi" w:hAnsiTheme="majorHAnsi"/>
        </w:rPr>
        <w:t xml:space="preserve"> AND </w:t>
      </w:r>
      <w:r w:rsidR="00BE34FD">
        <w:rPr>
          <w:rFonts w:asciiTheme="majorHAnsi" w:hAnsiTheme="majorHAnsi"/>
          <w:b/>
        </w:rPr>
        <w:t xml:space="preserve">CRITERIA </w:t>
      </w:r>
      <w:r w:rsidR="00580094" w:rsidRPr="00670F68">
        <w:rPr>
          <w:rFonts w:asciiTheme="majorHAnsi" w:hAnsiTheme="majorHAnsi"/>
          <w:b/>
        </w:rPr>
        <w:t>EVALUATION</w:t>
      </w:r>
    </w:p>
    <w:p w14:paraId="270A3343" w14:textId="77777777" w:rsidR="00DD6256" w:rsidRPr="00670F68" w:rsidRDefault="00DD6256" w:rsidP="00DD6256">
      <w:pPr>
        <w:jc w:val="center"/>
        <w:rPr>
          <w:rFonts w:asciiTheme="majorHAnsi" w:hAnsiTheme="majorHAnsi"/>
          <w:b/>
        </w:rPr>
      </w:pPr>
    </w:p>
    <w:p w14:paraId="4D5D5EAA" w14:textId="77777777" w:rsidR="0001325E" w:rsidRPr="00670F68" w:rsidRDefault="0001325E" w:rsidP="00F044E2">
      <w:pPr>
        <w:autoSpaceDE w:val="0"/>
        <w:autoSpaceDN w:val="0"/>
        <w:adjustRightInd w:val="0"/>
        <w:rPr>
          <w:rFonts w:asciiTheme="majorHAnsi" w:eastAsia="Calibri" w:hAnsiTheme="majorHAnsi"/>
          <w:b/>
          <w:snapToGrid/>
        </w:rPr>
      </w:pPr>
      <w:r w:rsidRPr="00670F68">
        <w:rPr>
          <w:rFonts w:asciiTheme="majorHAnsi" w:eastAsia="Calibri" w:hAnsiTheme="majorHAnsi"/>
          <w:b/>
          <w:snapToGrid/>
        </w:rPr>
        <w:t>Evaluation Process</w:t>
      </w:r>
    </w:p>
    <w:p w14:paraId="12058AFC" w14:textId="77777777" w:rsidR="0001325E" w:rsidRPr="00670F68" w:rsidRDefault="0001325E" w:rsidP="00F044E2">
      <w:pPr>
        <w:autoSpaceDE w:val="0"/>
        <w:autoSpaceDN w:val="0"/>
        <w:adjustRightInd w:val="0"/>
        <w:rPr>
          <w:rFonts w:asciiTheme="majorHAnsi" w:eastAsia="Calibri" w:hAnsiTheme="majorHAnsi"/>
          <w:snapToGrid/>
        </w:rPr>
      </w:pPr>
    </w:p>
    <w:p w14:paraId="79B1963F" w14:textId="036065CA" w:rsidR="00B423AD" w:rsidRPr="00670F68" w:rsidRDefault="00B423AD" w:rsidP="00F044E2">
      <w:pPr>
        <w:autoSpaceDE w:val="0"/>
        <w:autoSpaceDN w:val="0"/>
        <w:adjustRightInd w:val="0"/>
        <w:rPr>
          <w:rFonts w:asciiTheme="majorHAnsi" w:eastAsia="Calibri" w:hAnsiTheme="majorHAnsi"/>
          <w:snapToGrid/>
        </w:rPr>
      </w:pPr>
      <w:r w:rsidRPr="00670F68">
        <w:rPr>
          <w:rFonts w:asciiTheme="majorHAnsi" w:eastAsia="Calibri" w:hAnsiTheme="majorHAnsi"/>
          <w:snapToGrid/>
        </w:rPr>
        <w:t>All proposals will be evaluated by a</w:t>
      </w:r>
      <w:r w:rsidR="0081100E" w:rsidRPr="00670F68">
        <w:rPr>
          <w:rFonts w:asciiTheme="majorHAnsi" w:eastAsia="Calibri" w:hAnsiTheme="majorHAnsi"/>
          <w:snapToGrid/>
        </w:rPr>
        <w:t xml:space="preserve"> </w:t>
      </w:r>
      <w:r w:rsidRPr="00670F68">
        <w:rPr>
          <w:rFonts w:asciiTheme="majorHAnsi" w:eastAsia="Calibri" w:hAnsiTheme="majorHAnsi"/>
          <w:snapToGrid/>
        </w:rPr>
        <w:t>Selection Committee (</w:t>
      </w:r>
      <w:r w:rsidR="00D551C5" w:rsidRPr="00670F68">
        <w:rPr>
          <w:rFonts w:asciiTheme="majorHAnsi" w:eastAsia="Calibri" w:hAnsiTheme="majorHAnsi"/>
          <w:snapToGrid/>
        </w:rPr>
        <w:t>Committee</w:t>
      </w:r>
      <w:r w:rsidRPr="00670F68">
        <w:rPr>
          <w:rFonts w:asciiTheme="majorHAnsi" w:eastAsia="Calibri" w:hAnsiTheme="majorHAnsi"/>
          <w:snapToGrid/>
        </w:rPr>
        <w:t xml:space="preserve">). The Committee may be composed of </w:t>
      </w:r>
      <w:r w:rsidR="00CD365C">
        <w:rPr>
          <w:rFonts w:asciiTheme="majorHAnsi" w:eastAsia="Calibri" w:hAnsiTheme="majorHAnsi"/>
          <w:snapToGrid/>
        </w:rPr>
        <w:t>Commission</w:t>
      </w:r>
      <w:r w:rsidR="0001603D" w:rsidRPr="00670F68">
        <w:rPr>
          <w:rFonts w:asciiTheme="majorHAnsi" w:eastAsia="Calibri" w:hAnsiTheme="majorHAnsi"/>
          <w:snapToGrid/>
        </w:rPr>
        <w:t xml:space="preserve"> </w:t>
      </w:r>
      <w:r w:rsidRPr="00670F68">
        <w:rPr>
          <w:rFonts w:asciiTheme="majorHAnsi" w:eastAsia="Calibri" w:hAnsiTheme="majorHAnsi"/>
          <w:snapToGrid/>
        </w:rPr>
        <w:t xml:space="preserve">staff and other parties that may have expertise or experience in the services described herein. The </w:t>
      </w:r>
      <w:r w:rsidR="00D551C5" w:rsidRPr="00670F68">
        <w:rPr>
          <w:rFonts w:asciiTheme="majorHAnsi" w:eastAsia="Calibri" w:hAnsiTheme="majorHAnsi"/>
          <w:snapToGrid/>
        </w:rPr>
        <w:t>Committee</w:t>
      </w:r>
      <w:r w:rsidRPr="00670F68">
        <w:rPr>
          <w:rFonts w:asciiTheme="majorHAnsi" w:eastAsia="Calibri" w:hAnsiTheme="majorHAnsi"/>
          <w:snapToGrid/>
        </w:rPr>
        <w:t xml:space="preserve"> will review </w:t>
      </w:r>
      <w:r w:rsidR="00BE34FD">
        <w:rPr>
          <w:rFonts w:asciiTheme="majorHAnsi" w:eastAsia="Calibri" w:hAnsiTheme="majorHAnsi"/>
          <w:snapToGrid/>
        </w:rPr>
        <w:t xml:space="preserve">and rank </w:t>
      </w:r>
      <w:r w:rsidR="00EA4614">
        <w:rPr>
          <w:rFonts w:asciiTheme="majorHAnsi" w:eastAsia="Calibri" w:hAnsiTheme="majorHAnsi"/>
          <w:snapToGrid/>
        </w:rPr>
        <w:t>the proposals.</w:t>
      </w:r>
      <w:r w:rsidR="00853AB2">
        <w:rPr>
          <w:rFonts w:asciiTheme="majorHAnsi" w:eastAsia="Calibri" w:hAnsiTheme="majorHAnsi"/>
          <w:snapToGrid/>
        </w:rPr>
        <w:t xml:space="preserve"> </w:t>
      </w:r>
      <w:r w:rsidRPr="00670F68">
        <w:rPr>
          <w:rFonts w:asciiTheme="majorHAnsi" w:eastAsia="Calibri" w:hAnsiTheme="majorHAnsi"/>
          <w:snapToGrid/>
        </w:rPr>
        <w:t xml:space="preserve">The evaluation of the proposals shall be within the sole judgment and discretion of the </w:t>
      </w:r>
      <w:r w:rsidR="00D551C5" w:rsidRPr="00670F68">
        <w:rPr>
          <w:rFonts w:asciiTheme="majorHAnsi" w:eastAsia="Calibri" w:hAnsiTheme="majorHAnsi"/>
          <w:snapToGrid/>
        </w:rPr>
        <w:t>Committee</w:t>
      </w:r>
      <w:r w:rsidRPr="00670F68">
        <w:rPr>
          <w:rFonts w:asciiTheme="majorHAnsi" w:eastAsia="Calibri" w:hAnsiTheme="majorHAnsi"/>
          <w:snapToGrid/>
        </w:rPr>
        <w:t xml:space="preserve">. All contacts during the evaluation phase shall be through the </w:t>
      </w:r>
      <w:r w:rsidR="00CD365C">
        <w:rPr>
          <w:rFonts w:asciiTheme="majorHAnsi" w:eastAsia="Calibri" w:hAnsiTheme="majorHAnsi"/>
          <w:snapToGrid/>
        </w:rPr>
        <w:t>Commission</w:t>
      </w:r>
      <w:r w:rsidR="0001603D" w:rsidRPr="00670F68">
        <w:rPr>
          <w:rFonts w:asciiTheme="majorHAnsi" w:eastAsia="Calibri" w:hAnsiTheme="majorHAnsi"/>
          <w:snapToGrid/>
        </w:rPr>
        <w:t xml:space="preserve"> </w:t>
      </w:r>
      <w:r w:rsidR="005129DE" w:rsidRPr="00670F68">
        <w:rPr>
          <w:rFonts w:asciiTheme="majorHAnsi" w:eastAsia="Calibri" w:hAnsiTheme="majorHAnsi"/>
          <w:snapToGrid/>
        </w:rPr>
        <w:t>Contract Administrator/</w:t>
      </w:r>
      <w:r w:rsidR="00D50D23" w:rsidRPr="00670F68">
        <w:rPr>
          <w:rFonts w:asciiTheme="majorHAnsi" w:eastAsia="Calibri" w:hAnsiTheme="majorHAnsi"/>
          <w:snapToGrid/>
        </w:rPr>
        <w:t>Project Manager</w:t>
      </w:r>
      <w:r w:rsidRPr="00670F68">
        <w:rPr>
          <w:rFonts w:asciiTheme="majorHAnsi" w:eastAsia="Calibri" w:hAnsiTheme="majorHAnsi"/>
          <w:snapToGrid/>
        </w:rPr>
        <w:t xml:space="preserve"> only. </w:t>
      </w:r>
      <w:r w:rsidR="007D1B80">
        <w:rPr>
          <w:rFonts w:asciiTheme="majorHAnsi" w:eastAsia="Calibri" w:hAnsiTheme="majorHAnsi"/>
          <w:snapToGrid/>
        </w:rPr>
        <w:t>Proposer</w:t>
      </w:r>
      <w:r w:rsidRPr="00670F68">
        <w:rPr>
          <w:rFonts w:asciiTheme="majorHAnsi" w:eastAsia="Calibri" w:hAnsiTheme="majorHAnsi"/>
          <w:snapToGrid/>
        </w:rPr>
        <w:t xml:space="preserve">s shall neither contact nor lobby evaluators during the evaluation process. Attempts by </w:t>
      </w:r>
      <w:r w:rsidR="007D1B80">
        <w:rPr>
          <w:rFonts w:asciiTheme="majorHAnsi" w:eastAsia="Calibri" w:hAnsiTheme="majorHAnsi"/>
          <w:snapToGrid/>
        </w:rPr>
        <w:t>Proposer</w:t>
      </w:r>
      <w:r w:rsidRPr="00670F68">
        <w:rPr>
          <w:rFonts w:asciiTheme="majorHAnsi" w:eastAsia="Calibri" w:hAnsiTheme="majorHAnsi"/>
          <w:snapToGrid/>
        </w:rPr>
        <w:t xml:space="preserve"> to contact members of the </w:t>
      </w:r>
      <w:r w:rsidR="00D551C5" w:rsidRPr="00670F68">
        <w:rPr>
          <w:rFonts w:asciiTheme="majorHAnsi" w:eastAsia="Calibri" w:hAnsiTheme="majorHAnsi"/>
          <w:snapToGrid/>
        </w:rPr>
        <w:t xml:space="preserve">Committee </w:t>
      </w:r>
      <w:r w:rsidRPr="00670F68">
        <w:rPr>
          <w:rFonts w:asciiTheme="majorHAnsi" w:eastAsia="Calibri" w:hAnsiTheme="majorHAnsi"/>
          <w:snapToGrid/>
        </w:rPr>
        <w:t xml:space="preserve">may </w:t>
      </w:r>
      <w:r w:rsidR="009C4467" w:rsidRPr="00670F68">
        <w:rPr>
          <w:rFonts w:asciiTheme="majorHAnsi" w:eastAsia="Calibri" w:hAnsiTheme="majorHAnsi"/>
          <w:snapToGrid/>
        </w:rPr>
        <w:t xml:space="preserve">jeopardize the integrity of the evaluation and selection process and risk </w:t>
      </w:r>
      <w:r w:rsidRPr="00670F68">
        <w:rPr>
          <w:rFonts w:asciiTheme="majorHAnsi" w:eastAsia="Calibri" w:hAnsiTheme="majorHAnsi"/>
          <w:snapToGrid/>
        </w:rPr>
        <w:t xml:space="preserve">disqualification of </w:t>
      </w:r>
      <w:r w:rsidR="007D1B80">
        <w:rPr>
          <w:rFonts w:asciiTheme="majorHAnsi" w:eastAsia="Calibri" w:hAnsiTheme="majorHAnsi"/>
          <w:snapToGrid/>
        </w:rPr>
        <w:t>Proposer</w:t>
      </w:r>
      <w:r w:rsidRPr="00670F68">
        <w:rPr>
          <w:rFonts w:asciiTheme="majorHAnsi" w:eastAsia="Calibri" w:hAnsiTheme="majorHAnsi"/>
          <w:snapToGrid/>
        </w:rPr>
        <w:t>.</w:t>
      </w:r>
    </w:p>
    <w:p w14:paraId="2CDDF1A3" w14:textId="77777777" w:rsidR="00B423AD" w:rsidRPr="00670F68" w:rsidRDefault="00B423AD" w:rsidP="00F044E2">
      <w:pPr>
        <w:autoSpaceDE w:val="0"/>
        <w:autoSpaceDN w:val="0"/>
        <w:adjustRightInd w:val="0"/>
        <w:rPr>
          <w:rFonts w:asciiTheme="majorHAnsi" w:eastAsia="Calibri" w:hAnsiTheme="majorHAnsi"/>
          <w:snapToGrid/>
        </w:rPr>
      </w:pPr>
    </w:p>
    <w:p w14:paraId="598BD2B4" w14:textId="5908AC42" w:rsidR="00B423AD" w:rsidRPr="00670F68" w:rsidRDefault="00B423AD" w:rsidP="00F044E2">
      <w:pPr>
        <w:autoSpaceDE w:val="0"/>
        <w:autoSpaceDN w:val="0"/>
        <w:adjustRightInd w:val="0"/>
        <w:rPr>
          <w:rFonts w:asciiTheme="majorHAnsi" w:eastAsia="Calibri" w:hAnsiTheme="majorHAnsi"/>
          <w:snapToGrid/>
        </w:rPr>
      </w:pPr>
      <w:r w:rsidRPr="00670F68">
        <w:rPr>
          <w:rFonts w:asciiTheme="majorHAnsi" w:eastAsia="Calibri" w:hAnsiTheme="majorHAnsi"/>
          <w:snapToGrid/>
        </w:rPr>
        <w:t xml:space="preserve">The </w:t>
      </w:r>
      <w:r w:rsidR="00D551C5" w:rsidRPr="00670F68">
        <w:rPr>
          <w:rFonts w:asciiTheme="majorHAnsi" w:eastAsia="Calibri" w:hAnsiTheme="majorHAnsi"/>
          <w:snapToGrid/>
        </w:rPr>
        <w:t xml:space="preserve">Committee </w:t>
      </w:r>
      <w:r w:rsidRPr="00670F68">
        <w:rPr>
          <w:rFonts w:asciiTheme="majorHAnsi" w:eastAsia="Calibri" w:hAnsiTheme="majorHAnsi"/>
          <w:snapToGrid/>
        </w:rPr>
        <w:t>will evaluate each proposal meeting the qualification re</w:t>
      </w:r>
      <w:r w:rsidR="00A53F20" w:rsidRPr="00670F68">
        <w:rPr>
          <w:rFonts w:asciiTheme="majorHAnsi" w:eastAsia="Calibri" w:hAnsiTheme="majorHAnsi"/>
          <w:snapToGrid/>
        </w:rPr>
        <w:t xml:space="preserve">quirements set forth in this </w:t>
      </w:r>
      <w:r w:rsidR="00E80ED0" w:rsidRPr="00670F68">
        <w:rPr>
          <w:rFonts w:asciiTheme="majorHAnsi" w:eastAsia="Calibri" w:hAnsiTheme="majorHAnsi"/>
          <w:snapToGrid/>
        </w:rPr>
        <w:t>RFP</w:t>
      </w:r>
      <w:r w:rsidRPr="00670F68">
        <w:rPr>
          <w:rFonts w:asciiTheme="majorHAnsi" w:eastAsia="Calibri" w:hAnsiTheme="majorHAnsi"/>
          <w:snapToGrid/>
        </w:rPr>
        <w:t xml:space="preserve">. </w:t>
      </w:r>
    </w:p>
    <w:p w14:paraId="641F3115" w14:textId="77777777" w:rsidR="00B423AD" w:rsidRPr="00670F68" w:rsidRDefault="00B423AD" w:rsidP="00F044E2">
      <w:pPr>
        <w:autoSpaceDE w:val="0"/>
        <w:autoSpaceDN w:val="0"/>
        <w:adjustRightInd w:val="0"/>
        <w:rPr>
          <w:rFonts w:asciiTheme="majorHAnsi" w:eastAsia="Calibri" w:hAnsiTheme="majorHAnsi"/>
          <w:snapToGrid/>
        </w:rPr>
      </w:pPr>
    </w:p>
    <w:p w14:paraId="3C3ACA3B" w14:textId="7152136D" w:rsidR="009A0732" w:rsidRDefault="00016417" w:rsidP="002A23F9">
      <w:pPr>
        <w:autoSpaceDE w:val="0"/>
        <w:autoSpaceDN w:val="0"/>
        <w:adjustRightInd w:val="0"/>
        <w:rPr>
          <w:rFonts w:asciiTheme="majorHAnsi" w:eastAsia="Calibri" w:hAnsiTheme="majorHAnsi"/>
          <w:snapToGrid/>
        </w:rPr>
      </w:pPr>
      <w:r w:rsidRPr="00670F68">
        <w:rPr>
          <w:rFonts w:asciiTheme="majorHAnsi" w:eastAsia="Calibri" w:hAnsiTheme="majorHAnsi"/>
          <w:snapToGrid/>
        </w:rPr>
        <w:t xml:space="preserve">The selection process </w:t>
      </w:r>
      <w:r w:rsidR="00853AB2">
        <w:rPr>
          <w:rFonts w:asciiTheme="majorHAnsi" w:eastAsia="Calibri" w:hAnsiTheme="majorHAnsi"/>
          <w:snapToGrid/>
        </w:rPr>
        <w:t>may</w:t>
      </w:r>
      <w:r w:rsidR="00E72C46" w:rsidRPr="00670F68">
        <w:rPr>
          <w:rFonts w:asciiTheme="majorHAnsi" w:eastAsia="Calibri" w:hAnsiTheme="majorHAnsi"/>
          <w:snapToGrid/>
        </w:rPr>
        <w:t xml:space="preserve"> include oral interviews. The </w:t>
      </w:r>
      <w:r w:rsidR="007D1B80">
        <w:rPr>
          <w:rFonts w:asciiTheme="majorHAnsi" w:eastAsia="Calibri" w:hAnsiTheme="majorHAnsi"/>
          <w:snapToGrid/>
        </w:rPr>
        <w:t>PROPOSER</w:t>
      </w:r>
      <w:r w:rsidR="00E72C46" w:rsidRPr="00670F68">
        <w:rPr>
          <w:rFonts w:asciiTheme="majorHAnsi" w:eastAsia="Calibri" w:hAnsiTheme="majorHAnsi"/>
          <w:snapToGrid/>
        </w:rPr>
        <w:t xml:space="preserve"> will be notified of the time and place of oral interviews and any additional information that may be required to be submitted</w:t>
      </w:r>
      <w:r w:rsidR="009A786F" w:rsidRPr="00670F68">
        <w:rPr>
          <w:rFonts w:asciiTheme="majorHAnsi" w:eastAsia="Calibri" w:hAnsiTheme="majorHAnsi"/>
          <w:snapToGrid/>
        </w:rPr>
        <w:t xml:space="preserve">. </w:t>
      </w:r>
    </w:p>
    <w:p w14:paraId="0AC47A6F" w14:textId="77777777" w:rsidR="002A23F9" w:rsidRPr="00AB3DAC" w:rsidRDefault="002A23F9" w:rsidP="002A23F9">
      <w:pPr>
        <w:autoSpaceDE w:val="0"/>
        <w:autoSpaceDN w:val="0"/>
        <w:adjustRightInd w:val="0"/>
        <w:rPr>
          <w:rFonts w:asciiTheme="majorHAnsi" w:eastAsia="Calibri" w:hAnsiTheme="majorHAnsi"/>
          <w:b/>
          <w:snapToGrid/>
        </w:rPr>
      </w:pPr>
    </w:p>
    <w:p w14:paraId="5F3EEB7C" w14:textId="6242EAE9" w:rsidR="0001325E" w:rsidRPr="00670F68" w:rsidRDefault="0001325E" w:rsidP="0001325E">
      <w:pPr>
        <w:autoSpaceDE w:val="0"/>
        <w:autoSpaceDN w:val="0"/>
        <w:adjustRightInd w:val="0"/>
        <w:jc w:val="both"/>
        <w:rPr>
          <w:rFonts w:asciiTheme="majorHAnsi" w:eastAsia="Calibri" w:hAnsiTheme="majorHAnsi"/>
          <w:b/>
          <w:snapToGrid/>
        </w:rPr>
      </w:pPr>
      <w:r w:rsidRPr="00670F68">
        <w:rPr>
          <w:rFonts w:asciiTheme="majorHAnsi" w:eastAsia="Calibri" w:hAnsiTheme="majorHAnsi"/>
          <w:b/>
          <w:snapToGrid/>
        </w:rPr>
        <w:t>Evaluation Criteria</w:t>
      </w:r>
    </w:p>
    <w:p w14:paraId="0BDCD9A7" w14:textId="77777777" w:rsidR="0001325E" w:rsidRDefault="0001325E" w:rsidP="0001325E">
      <w:pPr>
        <w:autoSpaceDE w:val="0"/>
        <w:autoSpaceDN w:val="0"/>
        <w:adjustRightInd w:val="0"/>
        <w:jc w:val="both"/>
        <w:rPr>
          <w:rFonts w:asciiTheme="majorHAnsi" w:eastAsia="Calibri" w:hAnsiTheme="majorHAnsi"/>
          <w:snapToGrid/>
        </w:rPr>
      </w:pPr>
    </w:p>
    <w:p w14:paraId="1B0ED400" w14:textId="77777777" w:rsidR="00E90BE0" w:rsidRDefault="00E90BE0" w:rsidP="00E90BE0">
      <w:pPr>
        <w:pStyle w:val="ListParagraph"/>
        <w:shd w:val="clear" w:color="auto" w:fill="FFFFFF"/>
        <w:autoSpaceDE w:val="0"/>
        <w:autoSpaceDN w:val="0"/>
        <w:adjustRightInd w:val="0"/>
        <w:ind w:left="0"/>
        <w:rPr>
          <w:rFonts w:asciiTheme="majorHAnsi" w:eastAsia="Calibri" w:hAnsiTheme="majorHAnsi"/>
          <w:snapToGrid/>
        </w:rPr>
      </w:pPr>
      <w:r w:rsidRPr="00670F68">
        <w:rPr>
          <w:rFonts w:asciiTheme="majorHAnsi" w:eastAsia="Calibri" w:hAnsiTheme="majorHAnsi"/>
          <w:snapToGrid/>
        </w:rPr>
        <w:t>Responses to this RFP must be complete. Responses that do not include the proposal content requirements identified within this RFP and subsequent addenda and do not address each of the items listed below will be considered incomplete, be rated a Fail in the Evaluation Criteria and will receive no further consideration. Responses that are rated a Fail and are not considered may be picked up at the delivery location within 14 calendar days of contract award and/or the completion of the competitive process.</w:t>
      </w:r>
      <w:r>
        <w:rPr>
          <w:rFonts w:asciiTheme="majorHAnsi" w:eastAsia="Calibri" w:hAnsiTheme="majorHAnsi"/>
          <w:snapToGrid/>
        </w:rPr>
        <w:t xml:space="preserve"> </w:t>
      </w:r>
    </w:p>
    <w:p w14:paraId="21FB7742" w14:textId="77777777" w:rsidR="00E90BE0" w:rsidRDefault="00E90BE0" w:rsidP="00E90BE0">
      <w:pPr>
        <w:pStyle w:val="ListParagraph"/>
        <w:shd w:val="clear" w:color="auto" w:fill="FFFFFF"/>
        <w:autoSpaceDE w:val="0"/>
        <w:autoSpaceDN w:val="0"/>
        <w:adjustRightInd w:val="0"/>
        <w:ind w:left="0"/>
        <w:rPr>
          <w:rFonts w:asciiTheme="majorHAnsi" w:eastAsia="Calibri" w:hAnsiTheme="majorHAnsi"/>
          <w:snapToGrid/>
        </w:rPr>
      </w:pPr>
    </w:p>
    <w:p w14:paraId="63B23D67" w14:textId="4A12BC2E" w:rsidR="009A0732" w:rsidRPr="00AB3DAC" w:rsidRDefault="009A0732">
      <w:pPr>
        <w:rPr>
          <w:rFonts w:asciiTheme="majorHAnsi" w:eastAsia="Calibri" w:hAnsiTheme="majorHAnsi"/>
          <w:snapToGrid/>
        </w:rPr>
      </w:pPr>
    </w:p>
    <w:p w14:paraId="73914C6B" w14:textId="031E9D72" w:rsidR="00E90BE0" w:rsidRPr="00FB247A" w:rsidRDefault="00AC0E1F" w:rsidP="00AC0E1F">
      <w:pPr>
        <w:pStyle w:val="ListParagraph"/>
        <w:numPr>
          <w:ilvl w:val="0"/>
          <w:numId w:val="14"/>
        </w:numPr>
        <w:autoSpaceDE w:val="0"/>
        <w:autoSpaceDN w:val="0"/>
        <w:adjustRightInd w:val="0"/>
        <w:jc w:val="both"/>
        <w:rPr>
          <w:rFonts w:asciiTheme="majorHAnsi" w:eastAsia="Calibri" w:hAnsiTheme="majorHAnsi"/>
          <w:snapToGrid/>
        </w:rPr>
      </w:pPr>
      <w:bookmarkStart w:id="2" w:name="_Hlk76715766"/>
      <w:r w:rsidRPr="00670F68">
        <w:rPr>
          <w:rFonts w:asciiTheme="majorHAnsi" w:eastAsia="Calibri" w:hAnsiTheme="majorHAnsi"/>
          <w:b/>
          <w:snapToGrid/>
        </w:rPr>
        <w:t>Organization</w:t>
      </w:r>
      <w:r w:rsidR="00F4162A" w:rsidRPr="00670F68">
        <w:rPr>
          <w:rFonts w:asciiTheme="majorHAnsi" w:eastAsia="Calibri" w:hAnsiTheme="majorHAnsi"/>
          <w:b/>
          <w:snapToGrid/>
        </w:rPr>
        <w:t xml:space="preserve"> of Proposal</w:t>
      </w:r>
      <w:r w:rsidR="00FB247A">
        <w:rPr>
          <w:rFonts w:asciiTheme="majorHAnsi" w:eastAsia="Calibri" w:hAnsiTheme="majorHAnsi"/>
          <w:b/>
          <w:snapToGrid/>
        </w:rPr>
        <w:t xml:space="preserve"> (10 points)</w:t>
      </w:r>
    </w:p>
    <w:p w14:paraId="63B09731" w14:textId="77777777" w:rsidR="00FB247A" w:rsidRDefault="00FB247A" w:rsidP="00FB247A">
      <w:pPr>
        <w:pStyle w:val="ListParagraph"/>
        <w:shd w:val="clear" w:color="auto" w:fill="FFFFFF"/>
        <w:autoSpaceDE w:val="0"/>
        <w:autoSpaceDN w:val="0"/>
        <w:adjustRightInd w:val="0"/>
        <w:rPr>
          <w:rFonts w:asciiTheme="majorHAnsi" w:hAnsiTheme="majorHAnsi"/>
          <w:color w:val="212121"/>
        </w:rPr>
      </w:pPr>
    </w:p>
    <w:p w14:paraId="1928CA7B" w14:textId="338397D6" w:rsidR="00FB247A" w:rsidRPr="00FB247A" w:rsidRDefault="00FB247A" w:rsidP="00FB247A">
      <w:pPr>
        <w:pStyle w:val="ListParagraph"/>
        <w:shd w:val="clear" w:color="auto" w:fill="FFFFFF"/>
        <w:autoSpaceDE w:val="0"/>
        <w:autoSpaceDN w:val="0"/>
        <w:adjustRightInd w:val="0"/>
        <w:rPr>
          <w:rFonts w:asciiTheme="majorHAnsi" w:hAnsiTheme="majorHAnsi"/>
          <w:color w:val="000000"/>
        </w:rPr>
      </w:pPr>
      <w:r w:rsidRPr="00FB247A">
        <w:rPr>
          <w:rFonts w:asciiTheme="majorHAnsi" w:hAnsiTheme="majorHAnsi"/>
          <w:color w:val="000000"/>
        </w:rPr>
        <w:t>Proposals shall be no longer than 20 pages</w:t>
      </w:r>
      <w:r>
        <w:rPr>
          <w:rFonts w:asciiTheme="majorHAnsi" w:hAnsiTheme="majorHAnsi"/>
          <w:color w:val="000000"/>
        </w:rPr>
        <w:t xml:space="preserve">, 1” margins with 12 point font, </w:t>
      </w:r>
      <w:r w:rsidRPr="00FB247A">
        <w:rPr>
          <w:rFonts w:asciiTheme="majorHAnsi" w:hAnsiTheme="majorHAnsi"/>
          <w:color w:val="000000"/>
        </w:rPr>
        <w:t>and contain the following information in the order listed</w:t>
      </w:r>
      <w:r w:rsidR="002A23F9">
        <w:rPr>
          <w:rFonts w:asciiTheme="majorHAnsi" w:hAnsiTheme="majorHAnsi"/>
          <w:color w:val="000000"/>
        </w:rPr>
        <w:t>.</w:t>
      </w:r>
    </w:p>
    <w:p w14:paraId="2A0C5D11" w14:textId="77777777" w:rsidR="00FB247A" w:rsidRPr="00E90BE0" w:rsidRDefault="00FB247A" w:rsidP="00FB247A">
      <w:pPr>
        <w:pStyle w:val="ListParagraph"/>
        <w:autoSpaceDE w:val="0"/>
        <w:autoSpaceDN w:val="0"/>
        <w:adjustRightInd w:val="0"/>
        <w:jc w:val="both"/>
        <w:rPr>
          <w:rFonts w:asciiTheme="majorHAnsi" w:eastAsia="Calibri" w:hAnsiTheme="majorHAnsi"/>
          <w:snapToGrid/>
        </w:rPr>
      </w:pPr>
    </w:p>
    <w:p w14:paraId="79D21F44" w14:textId="77777777" w:rsidR="00E90BE0" w:rsidRPr="00E90BE0" w:rsidRDefault="00E90BE0" w:rsidP="00E90BE0">
      <w:pPr>
        <w:autoSpaceDE w:val="0"/>
        <w:autoSpaceDN w:val="0"/>
        <w:adjustRightInd w:val="0"/>
        <w:ind w:left="360"/>
        <w:jc w:val="both"/>
        <w:rPr>
          <w:rFonts w:asciiTheme="majorHAnsi" w:eastAsia="Calibri" w:hAnsiTheme="majorHAnsi"/>
          <w:snapToGrid/>
        </w:rPr>
      </w:pPr>
    </w:p>
    <w:p w14:paraId="5CDF3A7B" w14:textId="52A69B90" w:rsidR="001234CD" w:rsidRPr="00670F68" w:rsidRDefault="004C7630" w:rsidP="00AC0E1F">
      <w:pPr>
        <w:pStyle w:val="ListParagraph"/>
        <w:numPr>
          <w:ilvl w:val="0"/>
          <w:numId w:val="14"/>
        </w:numPr>
        <w:autoSpaceDE w:val="0"/>
        <w:autoSpaceDN w:val="0"/>
        <w:adjustRightInd w:val="0"/>
        <w:jc w:val="both"/>
        <w:rPr>
          <w:rFonts w:asciiTheme="majorHAnsi" w:eastAsia="Calibri" w:hAnsiTheme="majorHAnsi"/>
          <w:snapToGrid/>
        </w:rPr>
      </w:pPr>
      <w:r>
        <w:rPr>
          <w:rFonts w:asciiTheme="majorHAnsi" w:eastAsia="Calibri" w:hAnsiTheme="majorHAnsi"/>
          <w:b/>
          <w:snapToGrid/>
        </w:rPr>
        <w:t xml:space="preserve">Introductory Letter, </w:t>
      </w:r>
      <w:r w:rsidR="007D1B80">
        <w:rPr>
          <w:rFonts w:asciiTheme="majorHAnsi" w:eastAsia="Calibri" w:hAnsiTheme="majorHAnsi"/>
          <w:b/>
          <w:snapToGrid/>
        </w:rPr>
        <w:t>Proposer</w:t>
      </w:r>
      <w:r>
        <w:rPr>
          <w:rFonts w:asciiTheme="majorHAnsi" w:eastAsia="Calibri" w:hAnsiTheme="majorHAnsi"/>
          <w:b/>
          <w:snapToGrid/>
        </w:rPr>
        <w:t xml:space="preserve"> Information, Qualifications &amp; Experience</w:t>
      </w:r>
      <w:r w:rsidR="00F4162A" w:rsidRPr="00670F68">
        <w:rPr>
          <w:rFonts w:asciiTheme="majorHAnsi" w:eastAsia="Calibri" w:hAnsiTheme="majorHAnsi"/>
          <w:b/>
          <w:snapToGrid/>
        </w:rPr>
        <w:t xml:space="preserve"> (</w:t>
      </w:r>
      <w:r w:rsidR="00FB247A">
        <w:rPr>
          <w:rFonts w:asciiTheme="majorHAnsi" w:eastAsia="Calibri" w:hAnsiTheme="majorHAnsi"/>
          <w:b/>
          <w:snapToGrid/>
        </w:rPr>
        <w:t>20</w:t>
      </w:r>
      <w:r w:rsidR="00F4162A" w:rsidRPr="00670F68">
        <w:rPr>
          <w:rFonts w:asciiTheme="majorHAnsi" w:eastAsia="Calibri" w:hAnsiTheme="majorHAnsi"/>
          <w:b/>
          <w:snapToGrid/>
        </w:rPr>
        <w:t xml:space="preserve"> </w:t>
      </w:r>
      <w:r w:rsidR="00AC0E1F" w:rsidRPr="00670F68">
        <w:rPr>
          <w:rFonts w:asciiTheme="majorHAnsi" w:eastAsia="Calibri" w:hAnsiTheme="majorHAnsi"/>
          <w:b/>
          <w:snapToGrid/>
        </w:rPr>
        <w:t>points)</w:t>
      </w:r>
      <w:r w:rsidR="00AC0E1F" w:rsidRPr="00670F68">
        <w:rPr>
          <w:rFonts w:asciiTheme="majorHAnsi" w:eastAsia="Calibri" w:hAnsiTheme="majorHAnsi"/>
          <w:snapToGrid/>
        </w:rPr>
        <w:t xml:space="preserve"> </w:t>
      </w:r>
    </w:p>
    <w:p w14:paraId="1BFA6A3F" w14:textId="77777777" w:rsidR="00360D0A" w:rsidRPr="004C7630" w:rsidRDefault="00360D0A" w:rsidP="00360D0A">
      <w:pPr>
        <w:pStyle w:val="ListParagraph"/>
        <w:shd w:val="clear" w:color="auto" w:fill="FFFFFF"/>
        <w:tabs>
          <w:tab w:val="left" w:pos="360"/>
          <w:tab w:val="left" w:pos="720"/>
          <w:tab w:val="left" w:pos="1080"/>
        </w:tabs>
        <w:autoSpaceDE w:val="0"/>
        <w:autoSpaceDN w:val="0"/>
        <w:adjustRightInd w:val="0"/>
        <w:rPr>
          <w:rFonts w:asciiTheme="majorHAnsi" w:hAnsiTheme="majorHAnsi"/>
          <w:b/>
        </w:rPr>
      </w:pPr>
    </w:p>
    <w:p w14:paraId="46E1B219" w14:textId="1193A97C" w:rsidR="00360D0A" w:rsidRPr="00670F68" w:rsidRDefault="00360D0A" w:rsidP="00360D0A">
      <w:pPr>
        <w:pStyle w:val="ListParagraph"/>
        <w:numPr>
          <w:ilvl w:val="1"/>
          <w:numId w:val="11"/>
        </w:numPr>
        <w:shd w:val="clear" w:color="auto" w:fill="FFFFFF"/>
        <w:tabs>
          <w:tab w:val="left" w:pos="360"/>
          <w:tab w:val="left" w:pos="720"/>
          <w:tab w:val="left" w:pos="1080"/>
        </w:tabs>
        <w:autoSpaceDE w:val="0"/>
        <w:autoSpaceDN w:val="0"/>
        <w:adjustRightInd w:val="0"/>
        <w:rPr>
          <w:rFonts w:asciiTheme="majorHAnsi" w:hAnsiTheme="majorHAnsi"/>
          <w:b/>
        </w:rPr>
      </w:pPr>
      <w:r w:rsidRPr="00670F68">
        <w:rPr>
          <w:rFonts w:asciiTheme="majorHAnsi" w:hAnsiTheme="majorHAnsi"/>
          <w:b/>
          <w:bCs/>
          <w:color w:val="000000"/>
        </w:rPr>
        <w:t>Introductory Letter</w:t>
      </w:r>
      <w:r w:rsidRPr="002B7F49">
        <w:rPr>
          <w:rFonts w:asciiTheme="majorHAnsi" w:hAnsiTheme="majorHAnsi"/>
          <w:b/>
          <w:bCs/>
          <w:color w:val="000000"/>
        </w:rPr>
        <w:t>- limit of 2 pages</w:t>
      </w:r>
    </w:p>
    <w:p w14:paraId="5B7A30F0" w14:textId="77777777" w:rsidR="00360D0A" w:rsidRPr="00670F68" w:rsidRDefault="00360D0A" w:rsidP="00360D0A">
      <w:pPr>
        <w:shd w:val="clear" w:color="auto" w:fill="FFFFFF"/>
        <w:tabs>
          <w:tab w:val="left" w:pos="360"/>
          <w:tab w:val="left" w:pos="720"/>
        </w:tabs>
        <w:autoSpaceDE w:val="0"/>
        <w:autoSpaceDN w:val="0"/>
        <w:adjustRightInd w:val="0"/>
        <w:rPr>
          <w:rFonts w:asciiTheme="majorHAnsi" w:hAnsiTheme="majorHAnsi"/>
          <w:color w:val="000000"/>
        </w:rPr>
      </w:pPr>
    </w:p>
    <w:p w14:paraId="79B44871" w14:textId="12D95161" w:rsidR="00360D0A" w:rsidRPr="00670F68" w:rsidRDefault="00360D0A" w:rsidP="00360D0A">
      <w:pPr>
        <w:shd w:val="clear" w:color="auto" w:fill="FFFFFF"/>
        <w:tabs>
          <w:tab w:val="left" w:pos="360"/>
          <w:tab w:val="left" w:pos="720"/>
        </w:tabs>
        <w:autoSpaceDE w:val="0"/>
        <w:autoSpaceDN w:val="0"/>
        <w:adjustRightInd w:val="0"/>
        <w:rPr>
          <w:rFonts w:asciiTheme="majorHAnsi" w:hAnsiTheme="majorHAnsi"/>
          <w:color w:val="000000"/>
        </w:rPr>
      </w:pP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sidRPr="00670F68">
        <w:rPr>
          <w:rFonts w:asciiTheme="majorHAnsi" w:hAnsiTheme="majorHAnsi"/>
          <w:color w:val="000000"/>
        </w:rPr>
        <w:t>The introductory (or transmittal) letter shall be addressed to:</w:t>
      </w:r>
    </w:p>
    <w:p w14:paraId="144C0E6A" w14:textId="77777777" w:rsidR="00360D0A" w:rsidRPr="00CD5E28" w:rsidRDefault="00360D0A" w:rsidP="00360D0A">
      <w:pPr>
        <w:shd w:val="clear" w:color="auto" w:fill="FFFFFF"/>
        <w:tabs>
          <w:tab w:val="left" w:pos="360"/>
          <w:tab w:val="left" w:pos="720"/>
        </w:tabs>
        <w:autoSpaceDE w:val="0"/>
        <w:autoSpaceDN w:val="0"/>
        <w:adjustRightInd w:val="0"/>
        <w:rPr>
          <w:rFonts w:asciiTheme="majorHAnsi" w:hAnsiTheme="majorHAnsi"/>
          <w:b/>
          <w:bCs/>
        </w:rPr>
      </w:pPr>
    </w:p>
    <w:p w14:paraId="44D1B99F" w14:textId="2B1AC663" w:rsidR="00360D0A" w:rsidRPr="00CD5E28" w:rsidRDefault="00360D0A" w:rsidP="00360D0A">
      <w:pPr>
        <w:shd w:val="clear" w:color="auto" w:fill="FFFFFF"/>
        <w:tabs>
          <w:tab w:val="left" w:pos="360"/>
          <w:tab w:val="left" w:pos="720"/>
        </w:tabs>
        <w:autoSpaceDE w:val="0"/>
        <w:autoSpaceDN w:val="0"/>
        <w:adjustRightInd w:val="0"/>
        <w:rPr>
          <w:rFonts w:asciiTheme="majorHAnsi" w:hAnsiTheme="majorHAnsi"/>
          <w:b/>
          <w:bCs/>
        </w:rPr>
      </w:pPr>
      <w:r w:rsidRPr="00CD5E28">
        <w:rPr>
          <w:rFonts w:asciiTheme="majorHAnsi" w:hAnsiTheme="majorHAnsi"/>
          <w:b/>
          <w:bCs/>
        </w:rPr>
        <w:tab/>
      </w:r>
      <w:r>
        <w:rPr>
          <w:rFonts w:asciiTheme="majorHAnsi" w:hAnsiTheme="majorHAnsi"/>
          <w:b/>
          <w:bCs/>
        </w:rPr>
        <w:tab/>
      </w:r>
      <w:r>
        <w:rPr>
          <w:rFonts w:asciiTheme="majorHAnsi" w:hAnsiTheme="majorHAnsi"/>
          <w:b/>
          <w:bCs/>
        </w:rPr>
        <w:tab/>
      </w:r>
      <w:r w:rsidRPr="00CD5E28">
        <w:rPr>
          <w:rFonts w:asciiTheme="majorHAnsi" w:hAnsiTheme="majorHAnsi"/>
          <w:b/>
          <w:bCs/>
        </w:rPr>
        <w:t>Tehama County Transportation Commission</w:t>
      </w:r>
    </w:p>
    <w:p w14:paraId="3CCADCAF" w14:textId="6487AF1A" w:rsidR="00360D0A" w:rsidRPr="00CD5E28" w:rsidRDefault="00360D0A" w:rsidP="00360D0A">
      <w:pPr>
        <w:shd w:val="clear" w:color="auto" w:fill="FFFFFF"/>
        <w:tabs>
          <w:tab w:val="left" w:pos="360"/>
          <w:tab w:val="left" w:pos="720"/>
        </w:tabs>
        <w:autoSpaceDE w:val="0"/>
        <w:autoSpaceDN w:val="0"/>
        <w:adjustRightInd w:val="0"/>
        <w:rPr>
          <w:rFonts w:asciiTheme="majorHAnsi" w:hAnsiTheme="majorHAnsi"/>
          <w:b/>
          <w:bCs/>
        </w:rPr>
      </w:pPr>
      <w:r w:rsidRPr="00CD5E28">
        <w:rPr>
          <w:rFonts w:asciiTheme="majorHAnsi" w:hAnsiTheme="majorHAnsi"/>
          <w:b/>
          <w:bCs/>
        </w:rPr>
        <w:lastRenderedPageBreak/>
        <w:tab/>
      </w:r>
      <w:r>
        <w:rPr>
          <w:rFonts w:asciiTheme="majorHAnsi" w:hAnsiTheme="majorHAnsi"/>
          <w:b/>
          <w:bCs/>
        </w:rPr>
        <w:tab/>
      </w:r>
      <w:r>
        <w:rPr>
          <w:rFonts w:asciiTheme="majorHAnsi" w:hAnsiTheme="majorHAnsi"/>
          <w:b/>
          <w:bCs/>
        </w:rPr>
        <w:tab/>
      </w:r>
      <w:r w:rsidRPr="00CD5E28">
        <w:rPr>
          <w:rFonts w:asciiTheme="majorHAnsi" w:hAnsiTheme="majorHAnsi"/>
          <w:b/>
          <w:bCs/>
        </w:rPr>
        <w:t>1509 Schwab Street</w:t>
      </w:r>
    </w:p>
    <w:p w14:paraId="4D80E9D5" w14:textId="1D97EEC4" w:rsidR="00360D0A" w:rsidRPr="00CD5E28" w:rsidRDefault="00360D0A" w:rsidP="00360D0A">
      <w:pPr>
        <w:tabs>
          <w:tab w:val="left" w:pos="360"/>
          <w:tab w:val="left" w:pos="1080"/>
        </w:tabs>
        <w:rPr>
          <w:rFonts w:asciiTheme="majorHAnsi" w:hAnsiTheme="majorHAnsi"/>
          <w:b/>
          <w:bCs/>
        </w:rPr>
      </w:pPr>
      <w:r w:rsidRPr="00CD5E28">
        <w:rPr>
          <w:rFonts w:asciiTheme="majorHAnsi" w:hAnsiTheme="majorHAnsi"/>
          <w:b/>
          <w:bCs/>
        </w:rPr>
        <w:tab/>
      </w:r>
      <w:r>
        <w:rPr>
          <w:rFonts w:asciiTheme="majorHAnsi" w:hAnsiTheme="majorHAnsi"/>
          <w:b/>
          <w:bCs/>
        </w:rPr>
        <w:tab/>
      </w:r>
      <w:r>
        <w:rPr>
          <w:rFonts w:asciiTheme="majorHAnsi" w:hAnsiTheme="majorHAnsi"/>
          <w:b/>
          <w:bCs/>
        </w:rPr>
        <w:tab/>
      </w:r>
      <w:r w:rsidRPr="00CD5E28">
        <w:rPr>
          <w:rFonts w:asciiTheme="majorHAnsi" w:hAnsiTheme="majorHAnsi"/>
          <w:b/>
          <w:bCs/>
        </w:rPr>
        <w:t>Red Bluff, CA 96080</w:t>
      </w:r>
    </w:p>
    <w:p w14:paraId="65977C6C" w14:textId="77777777" w:rsidR="00360D0A" w:rsidRPr="00670F68" w:rsidRDefault="00360D0A" w:rsidP="00360D0A">
      <w:pPr>
        <w:tabs>
          <w:tab w:val="left" w:pos="360"/>
          <w:tab w:val="left" w:pos="1080"/>
        </w:tabs>
        <w:rPr>
          <w:rFonts w:asciiTheme="majorHAnsi" w:hAnsiTheme="majorHAnsi"/>
        </w:rPr>
      </w:pPr>
    </w:p>
    <w:p w14:paraId="7F8D3896" w14:textId="1321DD6A" w:rsidR="00360D0A" w:rsidRPr="00670F68" w:rsidRDefault="00360D0A" w:rsidP="00E90BE0">
      <w:pPr>
        <w:shd w:val="clear" w:color="auto" w:fill="FFFFFF"/>
        <w:autoSpaceDE w:val="0"/>
        <w:autoSpaceDN w:val="0"/>
        <w:adjustRightInd w:val="0"/>
        <w:ind w:left="720"/>
        <w:rPr>
          <w:rFonts w:asciiTheme="majorHAnsi" w:hAnsiTheme="majorHAnsi"/>
        </w:rPr>
      </w:pPr>
      <w:r w:rsidRPr="00670F68">
        <w:rPr>
          <w:rFonts w:asciiTheme="majorHAnsi" w:hAnsiTheme="majorHAnsi"/>
          <w:color w:val="000000"/>
        </w:rPr>
        <w:t xml:space="preserve">The letter shall be on </w:t>
      </w:r>
      <w:r>
        <w:rPr>
          <w:rFonts w:asciiTheme="majorHAnsi" w:hAnsiTheme="majorHAnsi"/>
          <w:color w:val="000000"/>
        </w:rPr>
        <w:t>Proposer’s</w:t>
      </w:r>
      <w:r w:rsidRPr="00670F68">
        <w:rPr>
          <w:rFonts w:asciiTheme="majorHAnsi" w:hAnsiTheme="majorHAnsi"/>
          <w:color w:val="000000"/>
        </w:rPr>
        <w:t xml:space="preserve"> letterhead and include</w:t>
      </w:r>
      <w:r>
        <w:rPr>
          <w:rFonts w:asciiTheme="majorHAnsi" w:hAnsiTheme="majorHAnsi"/>
          <w:color w:val="000000"/>
        </w:rPr>
        <w:t xml:space="preserve"> Proposer’</w:t>
      </w:r>
      <w:r w:rsidRPr="006F55FD">
        <w:rPr>
          <w:rFonts w:asciiTheme="majorHAnsi" w:hAnsiTheme="majorHAnsi"/>
          <w:color w:val="000000"/>
        </w:rPr>
        <w:t>s</w:t>
      </w:r>
      <w:r w:rsidRPr="00670F68">
        <w:rPr>
          <w:rFonts w:asciiTheme="majorHAnsi" w:hAnsiTheme="majorHAnsi"/>
          <w:color w:val="000000"/>
        </w:rPr>
        <w:t xml:space="preserve"> contact name, mailing address, telephone number</w:t>
      </w:r>
      <w:r w:rsidR="00F94D3B">
        <w:rPr>
          <w:rFonts w:asciiTheme="majorHAnsi" w:hAnsiTheme="majorHAnsi"/>
          <w:color w:val="000000"/>
        </w:rPr>
        <w:t xml:space="preserve"> </w:t>
      </w:r>
      <w:r w:rsidRPr="00670F68">
        <w:rPr>
          <w:rFonts w:asciiTheme="majorHAnsi" w:hAnsiTheme="majorHAnsi"/>
          <w:color w:val="000000"/>
        </w:rPr>
        <w:t xml:space="preserve">and email address. The letter will address </w:t>
      </w:r>
      <w:r>
        <w:rPr>
          <w:rFonts w:asciiTheme="majorHAnsi" w:hAnsiTheme="majorHAnsi"/>
          <w:color w:val="000000"/>
        </w:rPr>
        <w:t>Proposer</w:t>
      </w:r>
      <w:r w:rsidRPr="00670F68">
        <w:rPr>
          <w:rFonts w:asciiTheme="majorHAnsi" w:hAnsiTheme="majorHAnsi"/>
          <w:color w:val="000000"/>
        </w:rPr>
        <w:t xml:space="preserve">’s understanding of the services being requested and any other pertinent information </w:t>
      </w:r>
      <w:r>
        <w:rPr>
          <w:rFonts w:asciiTheme="majorHAnsi" w:hAnsiTheme="majorHAnsi"/>
          <w:color w:val="000000"/>
        </w:rPr>
        <w:t>Proposer</w:t>
      </w:r>
      <w:r w:rsidRPr="00670F68">
        <w:rPr>
          <w:rFonts w:asciiTheme="majorHAnsi" w:hAnsiTheme="majorHAnsi"/>
          <w:color w:val="000000"/>
        </w:rPr>
        <w:t xml:space="preserve"> believes should be included. All addendums </w:t>
      </w:r>
      <w:r>
        <w:rPr>
          <w:rFonts w:asciiTheme="majorHAnsi" w:hAnsiTheme="majorHAnsi"/>
          <w:color w:val="000000"/>
        </w:rPr>
        <w:t xml:space="preserve">published </w:t>
      </w:r>
      <w:r w:rsidRPr="00670F68">
        <w:rPr>
          <w:rFonts w:asciiTheme="majorHAnsi" w:hAnsiTheme="majorHAnsi"/>
          <w:color w:val="000000"/>
        </w:rPr>
        <w:t>must be acknowledged in the transmittal letter.</w:t>
      </w:r>
    </w:p>
    <w:p w14:paraId="67C0CE46" w14:textId="77777777" w:rsidR="00360D0A" w:rsidRPr="00670F68" w:rsidRDefault="00360D0A" w:rsidP="00E90BE0">
      <w:pPr>
        <w:shd w:val="clear" w:color="auto" w:fill="FFFFFF"/>
        <w:autoSpaceDE w:val="0"/>
        <w:autoSpaceDN w:val="0"/>
        <w:adjustRightInd w:val="0"/>
        <w:ind w:left="720"/>
        <w:rPr>
          <w:rFonts w:asciiTheme="majorHAnsi" w:hAnsiTheme="majorHAnsi"/>
        </w:rPr>
      </w:pPr>
    </w:p>
    <w:p w14:paraId="6AB62FF7" w14:textId="77777777" w:rsidR="00360D0A" w:rsidRDefault="00360D0A" w:rsidP="00E90BE0">
      <w:pPr>
        <w:shd w:val="clear" w:color="auto" w:fill="FFFFFF"/>
        <w:autoSpaceDE w:val="0"/>
        <w:autoSpaceDN w:val="0"/>
        <w:adjustRightInd w:val="0"/>
        <w:ind w:left="720"/>
        <w:rPr>
          <w:rFonts w:asciiTheme="majorHAnsi" w:hAnsiTheme="majorHAnsi"/>
          <w:color w:val="000000"/>
        </w:rPr>
      </w:pPr>
      <w:r w:rsidRPr="00670F68">
        <w:rPr>
          <w:rFonts w:asciiTheme="majorHAnsi" w:hAnsiTheme="majorHAnsi"/>
          <w:color w:val="000000"/>
        </w:rPr>
        <w:t xml:space="preserve">The letter shall be </w:t>
      </w:r>
      <w:r w:rsidRPr="00AB3DAC">
        <w:rPr>
          <w:rFonts w:asciiTheme="majorHAnsi" w:hAnsiTheme="majorHAnsi"/>
          <w:color w:val="000000"/>
        </w:rPr>
        <w:t>wet signed</w:t>
      </w:r>
      <w:r w:rsidRPr="00670F68">
        <w:rPr>
          <w:rFonts w:asciiTheme="majorHAnsi" w:hAnsiTheme="majorHAnsi"/>
          <w:color w:val="000000"/>
        </w:rPr>
        <w:t xml:space="preserve"> in blue ink by the individual authorized to bind the </w:t>
      </w:r>
      <w:r>
        <w:rPr>
          <w:rFonts w:asciiTheme="majorHAnsi" w:hAnsiTheme="majorHAnsi"/>
          <w:color w:val="000000"/>
        </w:rPr>
        <w:t>PROPOSER</w:t>
      </w:r>
      <w:r w:rsidRPr="00670F68">
        <w:rPr>
          <w:rFonts w:asciiTheme="majorHAnsi" w:hAnsiTheme="majorHAnsi"/>
          <w:color w:val="000000"/>
        </w:rPr>
        <w:t xml:space="preserve"> to the proposal.</w:t>
      </w:r>
    </w:p>
    <w:p w14:paraId="4C422961" w14:textId="77777777" w:rsidR="00E90BE0" w:rsidRDefault="00E90BE0" w:rsidP="00E90BE0">
      <w:pPr>
        <w:shd w:val="clear" w:color="auto" w:fill="FFFFFF"/>
        <w:autoSpaceDE w:val="0"/>
        <w:autoSpaceDN w:val="0"/>
        <w:adjustRightInd w:val="0"/>
        <w:ind w:left="720"/>
        <w:rPr>
          <w:rFonts w:asciiTheme="majorHAnsi" w:hAnsiTheme="majorHAnsi"/>
          <w:color w:val="000000"/>
        </w:rPr>
      </w:pPr>
    </w:p>
    <w:p w14:paraId="35AE0F2E" w14:textId="56BC1816" w:rsidR="00FB247A" w:rsidRPr="00FB247A" w:rsidRDefault="00FB247A" w:rsidP="00FB247A">
      <w:pPr>
        <w:autoSpaceDE w:val="0"/>
        <w:autoSpaceDN w:val="0"/>
        <w:adjustRightInd w:val="0"/>
        <w:ind w:left="1080"/>
        <w:jc w:val="both"/>
        <w:rPr>
          <w:rFonts w:asciiTheme="majorHAnsi" w:eastAsia="Calibri" w:hAnsiTheme="majorHAnsi"/>
          <w:snapToGrid/>
        </w:rPr>
      </w:pPr>
      <w:r>
        <w:rPr>
          <w:rFonts w:asciiTheme="majorHAnsi" w:eastAsia="Calibri" w:hAnsiTheme="majorHAnsi"/>
          <w:b/>
          <w:snapToGrid/>
        </w:rPr>
        <w:t xml:space="preserve">b. </w:t>
      </w:r>
      <w:r w:rsidR="007E29C5">
        <w:rPr>
          <w:rFonts w:asciiTheme="majorHAnsi" w:eastAsia="Calibri" w:hAnsiTheme="majorHAnsi"/>
          <w:b/>
          <w:snapToGrid/>
        </w:rPr>
        <w:tab/>
      </w:r>
      <w:r w:rsidRPr="00FB247A">
        <w:rPr>
          <w:rFonts w:asciiTheme="majorHAnsi" w:eastAsia="Calibri" w:hAnsiTheme="majorHAnsi"/>
          <w:b/>
          <w:snapToGrid/>
        </w:rPr>
        <w:t>References</w:t>
      </w:r>
    </w:p>
    <w:p w14:paraId="7F7E8704" w14:textId="71893A2B" w:rsidR="00E90BE0" w:rsidRDefault="00E90BE0" w:rsidP="00E90BE0">
      <w:pPr>
        <w:shd w:val="clear" w:color="auto" w:fill="FFFFFF"/>
        <w:autoSpaceDE w:val="0"/>
        <w:autoSpaceDN w:val="0"/>
        <w:adjustRightInd w:val="0"/>
        <w:ind w:left="720"/>
        <w:rPr>
          <w:rFonts w:asciiTheme="majorHAnsi" w:hAnsiTheme="majorHAnsi"/>
          <w:color w:val="000000"/>
        </w:rPr>
      </w:pPr>
    </w:p>
    <w:p w14:paraId="0C9EC0B7" w14:textId="3F9FABE7" w:rsidR="00E90BE0" w:rsidRPr="00670F68" w:rsidRDefault="00E90BE0" w:rsidP="00E90BE0">
      <w:pPr>
        <w:autoSpaceDE w:val="0"/>
        <w:autoSpaceDN w:val="0"/>
        <w:adjustRightInd w:val="0"/>
        <w:ind w:left="720"/>
        <w:rPr>
          <w:rFonts w:asciiTheme="majorHAnsi" w:eastAsia="Calibri" w:hAnsiTheme="majorHAnsi"/>
          <w:snapToGrid/>
        </w:rPr>
      </w:pPr>
      <w:r w:rsidRPr="00CD5E28">
        <w:rPr>
          <w:rFonts w:asciiTheme="majorHAnsi" w:hAnsiTheme="majorHAnsi"/>
          <w:color w:val="000000"/>
        </w:rPr>
        <w:t>Commission</w:t>
      </w:r>
      <w:r w:rsidRPr="00CD5E28">
        <w:rPr>
          <w:rFonts w:asciiTheme="majorHAnsi" w:eastAsia="Calibri" w:hAnsiTheme="majorHAnsi"/>
          <w:snapToGrid/>
        </w:rPr>
        <w:t xml:space="preserve"> will</w:t>
      </w:r>
      <w:r w:rsidRPr="00670F68">
        <w:rPr>
          <w:rFonts w:asciiTheme="majorHAnsi" w:eastAsia="Calibri" w:hAnsiTheme="majorHAnsi"/>
          <w:snapToGrid/>
        </w:rPr>
        <w:t xml:space="preserve"> only consider submittals from </w:t>
      </w:r>
      <w:r>
        <w:rPr>
          <w:rFonts w:asciiTheme="majorHAnsi" w:eastAsia="Calibri" w:hAnsiTheme="majorHAnsi"/>
          <w:snapToGrid/>
        </w:rPr>
        <w:t>Proposers</w:t>
      </w:r>
      <w:r w:rsidRPr="00AB3DAC">
        <w:rPr>
          <w:rFonts w:asciiTheme="majorHAnsi" w:eastAsia="Calibri" w:hAnsiTheme="majorHAnsi"/>
          <w:snapToGrid/>
        </w:rPr>
        <w:t xml:space="preserve"> </w:t>
      </w:r>
      <w:r w:rsidRPr="00670F68">
        <w:rPr>
          <w:rFonts w:asciiTheme="majorHAnsi" w:eastAsia="Calibri" w:hAnsiTheme="majorHAnsi"/>
          <w:snapToGrid/>
        </w:rPr>
        <w:t xml:space="preserve">that demonstrate they have successfully completed comparable projects within </w:t>
      </w:r>
      <w:r>
        <w:rPr>
          <w:rFonts w:asciiTheme="majorHAnsi" w:eastAsia="Calibri" w:hAnsiTheme="majorHAnsi"/>
          <w:snapToGrid/>
        </w:rPr>
        <w:t>rural areas</w:t>
      </w:r>
      <w:r w:rsidRPr="00670F68">
        <w:rPr>
          <w:rFonts w:asciiTheme="majorHAnsi" w:eastAsia="Calibri" w:hAnsiTheme="majorHAnsi"/>
          <w:snapToGrid/>
        </w:rPr>
        <w:t xml:space="preserve"> or the Norther</w:t>
      </w:r>
      <w:r w:rsidRPr="00AB3DAC">
        <w:rPr>
          <w:rFonts w:asciiTheme="majorHAnsi" w:eastAsia="Calibri" w:hAnsiTheme="majorHAnsi"/>
          <w:snapToGrid/>
        </w:rPr>
        <w:t>n</w:t>
      </w:r>
      <w:r w:rsidRPr="00670F68">
        <w:rPr>
          <w:rFonts w:asciiTheme="majorHAnsi" w:eastAsia="Calibri" w:hAnsiTheme="majorHAnsi"/>
          <w:snapToGrid/>
        </w:rPr>
        <w:t xml:space="preserve"> California region. These projects must illustrate the quality, type, and past performance of the project team. Submittals shall include a detailed description of a minimum of two (2) projects within the past </w:t>
      </w:r>
      <w:r>
        <w:rPr>
          <w:rFonts w:asciiTheme="majorHAnsi" w:eastAsia="Calibri" w:hAnsiTheme="majorHAnsi"/>
          <w:snapToGrid/>
        </w:rPr>
        <w:t>ten</w:t>
      </w:r>
      <w:r w:rsidRPr="00670F68">
        <w:rPr>
          <w:rFonts w:asciiTheme="majorHAnsi" w:eastAsia="Calibri" w:hAnsiTheme="majorHAnsi"/>
          <w:snapToGrid/>
        </w:rPr>
        <w:t xml:space="preserve"> (</w:t>
      </w:r>
      <w:r>
        <w:rPr>
          <w:rFonts w:asciiTheme="majorHAnsi" w:eastAsia="Calibri" w:hAnsiTheme="majorHAnsi"/>
          <w:snapToGrid/>
        </w:rPr>
        <w:t>10</w:t>
      </w:r>
      <w:r w:rsidRPr="00670F68">
        <w:rPr>
          <w:rFonts w:asciiTheme="majorHAnsi" w:eastAsia="Calibri" w:hAnsiTheme="majorHAnsi"/>
          <w:snapToGrid/>
        </w:rPr>
        <w:t>) years which include the following information:</w:t>
      </w:r>
    </w:p>
    <w:p w14:paraId="4153EFB1" w14:textId="77777777" w:rsidR="00E90BE0" w:rsidRPr="00670F68" w:rsidRDefault="00E90BE0" w:rsidP="00E90BE0">
      <w:pPr>
        <w:autoSpaceDE w:val="0"/>
        <w:autoSpaceDN w:val="0"/>
        <w:adjustRightInd w:val="0"/>
        <w:rPr>
          <w:rFonts w:asciiTheme="majorHAnsi" w:eastAsia="Calibri" w:hAnsiTheme="majorHAnsi"/>
          <w:snapToGrid/>
        </w:rPr>
      </w:pPr>
    </w:p>
    <w:p w14:paraId="4C1F3084" w14:textId="77777777" w:rsidR="00E90BE0" w:rsidRPr="00670F68" w:rsidRDefault="00E90BE0" w:rsidP="00E90BE0">
      <w:pPr>
        <w:pStyle w:val="ListParagraph"/>
        <w:numPr>
          <w:ilvl w:val="0"/>
          <w:numId w:val="20"/>
        </w:numPr>
        <w:autoSpaceDE w:val="0"/>
        <w:autoSpaceDN w:val="0"/>
        <w:adjustRightInd w:val="0"/>
        <w:rPr>
          <w:rFonts w:asciiTheme="majorHAnsi" w:eastAsia="Calibri" w:hAnsiTheme="majorHAnsi"/>
          <w:snapToGrid/>
        </w:rPr>
      </w:pPr>
      <w:r w:rsidRPr="00670F68">
        <w:rPr>
          <w:rFonts w:asciiTheme="majorHAnsi" w:eastAsia="Calibri" w:hAnsiTheme="majorHAnsi"/>
          <w:snapToGrid/>
        </w:rPr>
        <w:t>Contracting agency</w:t>
      </w:r>
    </w:p>
    <w:p w14:paraId="63952246" w14:textId="5136E30E" w:rsidR="00E90BE0" w:rsidRPr="00670F68" w:rsidRDefault="00E90BE0" w:rsidP="00E90BE0">
      <w:pPr>
        <w:pStyle w:val="ListParagraph"/>
        <w:numPr>
          <w:ilvl w:val="0"/>
          <w:numId w:val="20"/>
        </w:numPr>
        <w:autoSpaceDE w:val="0"/>
        <w:autoSpaceDN w:val="0"/>
        <w:adjustRightInd w:val="0"/>
        <w:rPr>
          <w:rFonts w:asciiTheme="majorHAnsi" w:eastAsia="Calibri" w:hAnsiTheme="majorHAnsi"/>
          <w:snapToGrid/>
        </w:rPr>
      </w:pPr>
      <w:r w:rsidRPr="00670F68">
        <w:rPr>
          <w:rFonts w:asciiTheme="majorHAnsi" w:eastAsia="Calibri" w:hAnsiTheme="majorHAnsi"/>
          <w:snapToGrid/>
        </w:rPr>
        <w:t xml:space="preserve">Contracting agency </w:t>
      </w:r>
      <w:r>
        <w:rPr>
          <w:rFonts w:asciiTheme="majorHAnsi" w:eastAsia="Calibri" w:hAnsiTheme="majorHAnsi"/>
          <w:snapToGrid/>
        </w:rPr>
        <w:t xml:space="preserve">contact </w:t>
      </w:r>
      <w:r w:rsidR="00F94D3B">
        <w:rPr>
          <w:rFonts w:asciiTheme="majorHAnsi" w:eastAsia="Calibri" w:hAnsiTheme="majorHAnsi"/>
          <w:snapToGrid/>
        </w:rPr>
        <w:t>information</w:t>
      </w:r>
    </w:p>
    <w:p w14:paraId="404C777A" w14:textId="77777777" w:rsidR="00E90BE0" w:rsidRPr="00670F68" w:rsidRDefault="00E90BE0" w:rsidP="00E90BE0">
      <w:pPr>
        <w:pStyle w:val="ListParagraph"/>
        <w:numPr>
          <w:ilvl w:val="0"/>
          <w:numId w:val="20"/>
        </w:numPr>
        <w:autoSpaceDE w:val="0"/>
        <w:autoSpaceDN w:val="0"/>
        <w:adjustRightInd w:val="0"/>
        <w:rPr>
          <w:rFonts w:asciiTheme="majorHAnsi" w:eastAsia="Calibri" w:hAnsiTheme="majorHAnsi"/>
          <w:snapToGrid/>
        </w:rPr>
      </w:pPr>
      <w:r w:rsidRPr="00670F68">
        <w:rPr>
          <w:rFonts w:asciiTheme="majorHAnsi" w:eastAsia="Calibri" w:hAnsiTheme="majorHAnsi"/>
          <w:snapToGrid/>
        </w:rPr>
        <w:t>Date of completion</w:t>
      </w:r>
    </w:p>
    <w:p w14:paraId="7641BA82" w14:textId="77777777" w:rsidR="00E90BE0" w:rsidRPr="00670F68" w:rsidRDefault="00E90BE0" w:rsidP="00E90BE0">
      <w:pPr>
        <w:pStyle w:val="ListParagraph"/>
        <w:numPr>
          <w:ilvl w:val="0"/>
          <w:numId w:val="20"/>
        </w:numPr>
        <w:autoSpaceDE w:val="0"/>
        <w:autoSpaceDN w:val="0"/>
        <w:adjustRightInd w:val="0"/>
        <w:rPr>
          <w:rFonts w:asciiTheme="majorHAnsi" w:eastAsia="Calibri" w:hAnsiTheme="majorHAnsi"/>
          <w:snapToGrid/>
        </w:rPr>
      </w:pPr>
      <w:r w:rsidRPr="00670F68">
        <w:rPr>
          <w:rFonts w:asciiTheme="majorHAnsi" w:eastAsia="Calibri" w:hAnsiTheme="majorHAnsi"/>
          <w:snapToGrid/>
        </w:rPr>
        <w:t>Project Description</w:t>
      </w:r>
    </w:p>
    <w:p w14:paraId="6B6A058A" w14:textId="77777777" w:rsidR="00E90BE0" w:rsidRPr="00670F68" w:rsidRDefault="00E90BE0" w:rsidP="00E90BE0">
      <w:pPr>
        <w:pStyle w:val="ListParagraph"/>
        <w:numPr>
          <w:ilvl w:val="0"/>
          <w:numId w:val="20"/>
        </w:numPr>
        <w:autoSpaceDE w:val="0"/>
        <w:autoSpaceDN w:val="0"/>
        <w:adjustRightInd w:val="0"/>
        <w:rPr>
          <w:rFonts w:asciiTheme="majorHAnsi" w:eastAsia="Calibri" w:hAnsiTheme="majorHAnsi"/>
          <w:snapToGrid/>
        </w:rPr>
      </w:pPr>
      <w:r w:rsidRPr="00670F68">
        <w:rPr>
          <w:rFonts w:asciiTheme="majorHAnsi" w:eastAsia="Calibri" w:hAnsiTheme="majorHAnsi"/>
          <w:snapToGrid/>
        </w:rPr>
        <w:t xml:space="preserve">Project Agency Letter of </w:t>
      </w:r>
      <w:r w:rsidRPr="00CD5E28">
        <w:rPr>
          <w:rFonts w:asciiTheme="majorHAnsi" w:eastAsia="Calibri" w:hAnsiTheme="majorHAnsi"/>
          <w:snapToGrid/>
        </w:rPr>
        <w:t>Recommendation (References)</w:t>
      </w:r>
    </w:p>
    <w:p w14:paraId="5D63725F" w14:textId="77777777" w:rsidR="00E90BE0" w:rsidRPr="00670F68" w:rsidRDefault="00E90BE0" w:rsidP="00E90BE0">
      <w:pPr>
        <w:shd w:val="clear" w:color="auto" w:fill="FFFFFF"/>
        <w:tabs>
          <w:tab w:val="left" w:pos="360"/>
        </w:tabs>
        <w:autoSpaceDE w:val="0"/>
        <w:autoSpaceDN w:val="0"/>
        <w:adjustRightInd w:val="0"/>
        <w:ind w:left="360" w:hanging="360"/>
        <w:rPr>
          <w:rFonts w:asciiTheme="majorHAnsi" w:hAnsiTheme="majorHAnsi"/>
          <w:color w:val="000000"/>
        </w:rPr>
      </w:pPr>
    </w:p>
    <w:p w14:paraId="6CCD85B3" w14:textId="317E8525" w:rsidR="007E29C5" w:rsidRDefault="007E29C5" w:rsidP="00F94D3B">
      <w:pPr>
        <w:autoSpaceDE w:val="0"/>
        <w:autoSpaceDN w:val="0"/>
        <w:adjustRightInd w:val="0"/>
        <w:ind w:left="360" w:firstLine="720"/>
        <w:jc w:val="both"/>
        <w:rPr>
          <w:rFonts w:asciiTheme="majorHAnsi" w:eastAsia="Calibri" w:hAnsiTheme="majorHAnsi"/>
          <w:b/>
          <w:snapToGrid/>
        </w:rPr>
      </w:pPr>
      <w:r>
        <w:rPr>
          <w:rFonts w:asciiTheme="majorHAnsi" w:eastAsia="Calibri" w:hAnsiTheme="majorHAnsi"/>
          <w:b/>
          <w:snapToGrid/>
        </w:rPr>
        <w:t>c.</w:t>
      </w:r>
      <w:r w:rsidR="00F94D3B">
        <w:rPr>
          <w:rFonts w:asciiTheme="majorHAnsi" w:eastAsia="Calibri" w:hAnsiTheme="majorHAnsi"/>
          <w:b/>
          <w:snapToGrid/>
        </w:rPr>
        <w:t xml:space="preserve">  </w:t>
      </w:r>
      <w:r w:rsidRPr="00FB247A">
        <w:rPr>
          <w:rFonts w:asciiTheme="majorHAnsi" w:eastAsia="Calibri" w:hAnsiTheme="majorHAnsi"/>
          <w:b/>
          <w:snapToGrid/>
        </w:rPr>
        <w:t xml:space="preserve">Staff Qualifications and Approach </w:t>
      </w:r>
    </w:p>
    <w:p w14:paraId="412F2E11" w14:textId="77777777" w:rsidR="007E29C5" w:rsidRDefault="007E29C5" w:rsidP="007E29C5">
      <w:pPr>
        <w:autoSpaceDE w:val="0"/>
        <w:autoSpaceDN w:val="0"/>
        <w:adjustRightInd w:val="0"/>
        <w:ind w:left="720" w:firstLine="720"/>
        <w:jc w:val="both"/>
        <w:rPr>
          <w:rFonts w:asciiTheme="majorHAnsi" w:eastAsia="Calibri" w:hAnsiTheme="majorHAnsi"/>
          <w:b/>
          <w:snapToGrid/>
        </w:rPr>
      </w:pPr>
    </w:p>
    <w:p w14:paraId="224C7E88" w14:textId="77777777" w:rsidR="00090C1F" w:rsidRDefault="00AD0CD4" w:rsidP="00F94D3B">
      <w:pPr>
        <w:autoSpaceDE w:val="0"/>
        <w:autoSpaceDN w:val="0"/>
        <w:adjustRightInd w:val="0"/>
        <w:ind w:left="720"/>
        <w:jc w:val="both"/>
        <w:rPr>
          <w:rFonts w:asciiTheme="majorHAnsi" w:eastAsia="Calibri" w:hAnsiTheme="majorHAnsi"/>
          <w:snapToGrid/>
        </w:rPr>
      </w:pPr>
      <w:r w:rsidRPr="00FB247A">
        <w:rPr>
          <w:rFonts w:asciiTheme="majorHAnsi" w:eastAsia="Calibri" w:hAnsiTheme="majorHAnsi"/>
          <w:snapToGrid/>
        </w:rPr>
        <w:t>Describe staff r</w:t>
      </w:r>
      <w:r w:rsidR="00DC1038" w:rsidRPr="00FB247A">
        <w:rPr>
          <w:rFonts w:asciiTheme="majorHAnsi" w:eastAsia="Calibri" w:hAnsiTheme="majorHAnsi"/>
          <w:snapToGrid/>
        </w:rPr>
        <w:t xml:space="preserve">elevant experience, specific qualifications, and technical expertise of the firm and </w:t>
      </w:r>
      <w:r w:rsidR="00802E63" w:rsidRPr="00FB247A">
        <w:rPr>
          <w:rFonts w:asciiTheme="majorHAnsi" w:eastAsia="Calibri" w:hAnsiTheme="majorHAnsi"/>
          <w:snapToGrid/>
        </w:rPr>
        <w:t>subcon</w:t>
      </w:r>
      <w:r w:rsidR="00AF0CD6" w:rsidRPr="00FB247A">
        <w:rPr>
          <w:rFonts w:asciiTheme="majorHAnsi" w:eastAsia="Calibri" w:hAnsiTheme="majorHAnsi"/>
          <w:snapToGrid/>
        </w:rPr>
        <w:t>sultants</w:t>
      </w:r>
      <w:r w:rsidR="00DC1038" w:rsidRPr="00FB247A">
        <w:rPr>
          <w:rFonts w:asciiTheme="majorHAnsi" w:eastAsia="Calibri" w:hAnsiTheme="majorHAnsi"/>
          <w:snapToGrid/>
        </w:rPr>
        <w:t xml:space="preserve"> to conduct</w:t>
      </w:r>
      <w:r w:rsidR="00802E63" w:rsidRPr="00FB247A">
        <w:rPr>
          <w:rFonts w:asciiTheme="majorHAnsi" w:eastAsia="Calibri" w:hAnsiTheme="majorHAnsi"/>
          <w:snapToGrid/>
        </w:rPr>
        <w:t xml:space="preserve"> requested</w:t>
      </w:r>
      <w:r w:rsidR="00DC1038" w:rsidRPr="00FB247A">
        <w:rPr>
          <w:rFonts w:asciiTheme="majorHAnsi" w:eastAsia="Calibri" w:hAnsiTheme="majorHAnsi"/>
          <w:snapToGrid/>
        </w:rPr>
        <w:t xml:space="preserve"> services</w:t>
      </w:r>
      <w:r w:rsidR="00802E63" w:rsidRPr="00FB247A">
        <w:rPr>
          <w:rFonts w:asciiTheme="majorHAnsi" w:eastAsia="Calibri" w:hAnsiTheme="majorHAnsi"/>
          <w:snapToGrid/>
        </w:rPr>
        <w:t>.</w:t>
      </w:r>
      <w:r w:rsidR="00DC1038" w:rsidRPr="00FB247A">
        <w:rPr>
          <w:rFonts w:asciiTheme="majorHAnsi" w:eastAsia="Calibri" w:hAnsiTheme="majorHAnsi"/>
          <w:snapToGrid/>
        </w:rPr>
        <w:t xml:space="preserve"> </w:t>
      </w:r>
    </w:p>
    <w:p w14:paraId="4A060D57" w14:textId="77777777" w:rsidR="00090C1F" w:rsidRDefault="00090C1F" w:rsidP="00090C1F">
      <w:pPr>
        <w:autoSpaceDE w:val="0"/>
        <w:autoSpaceDN w:val="0"/>
        <w:adjustRightInd w:val="0"/>
        <w:ind w:left="1440"/>
        <w:jc w:val="both"/>
        <w:rPr>
          <w:rFonts w:asciiTheme="majorHAnsi" w:eastAsia="Calibri" w:hAnsiTheme="majorHAnsi"/>
          <w:snapToGrid/>
        </w:rPr>
      </w:pPr>
    </w:p>
    <w:p w14:paraId="27649989" w14:textId="77777777" w:rsidR="00D8611F" w:rsidRPr="00670F68" w:rsidRDefault="00D8611F" w:rsidP="00090C1F">
      <w:pPr>
        <w:pStyle w:val="ListParagraph"/>
        <w:numPr>
          <w:ilvl w:val="2"/>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Project and Management Approach</w:t>
      </w:r>
    </w:p>
    <w:p w14:paraId="5962E406" w14:textId="77777777" w:rsidR="00D8611F" w:rsidRPr="00670F68" w:rsidRDefault="00D8611F" w:rsidP="00090C1F">
      <w:pPr>
        <w:pStyle w:val="ListParagraph"/>
        <w:numPr>
          <w:ilvl w:val="3"/>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Team is managed by an individual with appropriate experience in similar projects. This person’s time is appropriately committed to the project.</w:t>
      </w:r>
    </w:p>
    <w:p w14:paraId="4AC6C479" w14:textId="5D2747AD" w:rsidR="00D8611F" w:rsidRPr="00670F68" w:rsidRDefault="00D8611F" w:rsidP="00090C1F">
      <w:pPr>
        <w:pStyle w:val="ListParagraph"/>
        <w:numPr>
          <w:ilvl w:val="3"/>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Project team and management approach respo</w:t>
      </w:r>
      <w:r w:rsidR="002E24DA" w:rsidRPr="00670F68">
        <w:rPr>
          <w:rFonts w:asciiTheme="majorHAnsi" w:eastAsia="Calibri" w:hAnsiTheme="majorHAnsi"/>
          <w:snapToGrid/>
        </w:rPr>
        <w:t>nds to project issues</w:t>
      </w:r>
      <w:r w:rsidRPr="00670F68">
        <w:rPr>
          <w:rFonts w:asciiTheme="majorHAnsi" w:eastAsia="Calibri" w:hAnsiTheme="majorHAnsi"/>
          <w:snapToGrid/>
        </w:rPr>
        <w:t>. Team structure provides adequate capability to perform needed work within project schedule milestones.</w:t>
      </w:r>
    </w:p>
    <w:p w14:paraId="466C3A5C" w14:textId="77777777" w:rsidR="00D8611F" w:rsidRPr="00670F68" w:rsidRDefault="00D8611F" w:rsidP="00090C1F">
      <w:pPr>
        <w:pStyle w:val="ListParagraph"/>
        <w:numPr>
          <w:ilvl w:val="2"/>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Roles of Key Individuals on the Team</w:t>
      </w:r>
    </w:p>
    <w:p w14:paraId="4107C48C" w14:textId="77777777" w:rsidR="00BE21AC" w:rsidRPr="00670F68" w:rsidRDefault="00D8611F" w:rsidP="00090C1F">
      <w:pPr>
        <w:pStyle w:val="ListParagraph"/>
        <w:numPr>
          <w:ilvl w:val="3"/>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Proposed team members, as demonstrated by enclosed resumes, have relevant experience for their role in the project.</w:t>
      </w:r>
    </w:p>
    <w:p w14:paraId="01CDB72E" w14:textId="6CBED0F1" w:rsidR="00D8611F" w:rsidRPr="00670F68" w:rsidRDefault="00D8611F" w:rsidP="00090C1F">
      <w:pPr>
        <w:pStyle w:val="ListParagraph"/>
        <w:numPr>
          <w:ilvl w:val="2"/>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 xml:space="preserve">Working Relationship with </w:t>
      </w:r>
      <w:r w:rsidR="002C5577" w:rsidRPr="00670F68">
        <w:rPr>
          <w:rFonts w:asciiTheme="majorHAnsi" w:eastAsia="Calibri" w:hAnsiTheme="majorHAnsi"/>
          <w:snapToGrid/>
        </w:rPr>
        <w:t>Local Agencies</w:t>
      </w:r>
    </w:p>
    <w:p w14:paraId="4BF90746" w14:textId="77777777" w:rsidR="00D8611F" w:rsidRPr="00670F68" w:rsidRDefault="00D8611F" w:rsidP="00090C1F">
      <w:pPr>
        <w:pStyle w:val="ListParagraph"/>
        <w:numPr>
          <w:ilvl w:val="3"/>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Team and its leaders have experience working in the public sector and knowledge of public sector procurement process.</w:t>
      </w:r>
    </w:p>
    <w:p w14:paraId="22A35FF3" w14:textId="2302E36D" w:rsidR="00D8611F" w:rsidRDefault="00D8611F" w:rsidP="005D318B">
      <w:pPr>
        <w:pStyle w:val="ListParagraph"/>
        <w:numPr>
          <w:ilvl w:val="2"/>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lastRenderedPageBreak/>
        <w:t xml:space="preserve">Proposal responds to need to assist </w:t>
      </w:r>
      <w:r w:rsidR="00CD365C">
        <w:rPr>
          <w:rFonts w:asciiTheme="majorHAnsi" w:eastAsia="Calibri" w:hAnsiTheme="majorHAnsi"/>
          <w:snapToGrid/>
        </w:rPr>
        <w:t>Commission</w:t>
      </w:r>
      <w:r w:rsidR="006A01A7" w:rsidRPr="00670F68">
        <w:rPr>
          <w:rFonts w:asciiTheme="majorHAnsi" w:eastAsia="Calibri" w:hAnsiTheme="majorHAnsi"/>
          <w:snapToGrid/>
        </w:rPr>
        <w:t xml:space="preserve"> </w:t>
      </w:r>
      <w:r w:rsidR="000D0F8A" w:rsidRPr="00AB3DAC">
        <w:rPr>
          <w:rFonts w:asciiTheme="majorHAnsi" w:eastAsia="Calibri" w:hAnsiTheme="majorHAnsi"/>
          <w:snapToGrid/>
        </w:rPr>
        <w:t xml:space="preserve">staff </w:t>
      </w:r>
      <w:r w:rsidRPr="00670F68">
        <w:rPr>
          <w:rFonts w:asciiTheme="majorHAnsi" w:eastAsia="Calibri" w:hAnsiTheme="majorHAnsi"/>
          <w:snapToGrid/>
        </w:rPr>
        <w:t>during the project.</w:t>
      </w:r>
    </w:p>
    <w:p w14:paraId="70A4C398" w14:textId="77777777" w:rsidR="00D8611F" w:rsidRPr="00670F68" w:rsidRDefault="00D8611F" w:rsidP="005D318B">
      <w:pPr>
        <w:pStyle w:val="ListParagraph"/>
        <w:autoSpaceDE w:val="0"/>
        <w:autoSpaceDN w:val="0"/>
        <w:adjustRightInd w:val="0"/>
        <w:ind w:left="2160"/>
        <w:jc w:val="both"/>
        <w:rPr>
          <w:rFonts w:asciiTheme="majorHAnsi" w:eastAsia="Calibri" w:hAnsiTheme="majorHAnsi"/>
          <w:snapToGrid/>
        </w:rPr>
      </w:pPr>
    </w:p>
    <w:p w14:paraId="7BF081A5" w14:textId="5B2CEB7B" w:rsidR="00D8611F" w:rsidRPr="00670F68" w:rsidRDefault="00F4162A" w:rsidP="005D318B">
      <w:pPr>
        <w:pStyle w:val="ListParagraph"/>
        <w:numPr>
          <w:ilvl w:val="0"/>
          <w:numId w:val="14"/>
        </w:numPr>
        <w:autoSpaceDE w:val="0"/>
        <w:autoSpaceDN w:val="0"/>
        <w:adjustRightInd w:val="0"/>
        <w:jc w:val="both"/>
        <w:rPr>
          <w:rFonts w:asciiTheme="majorHAnsi" w:eastAsia="Calibri" w:hAnsiTheme="majorHAnsi"/>
          <w:b/>
          <w:snapToGrid/>
        </w:rPr>
      </w:pPr>
      <w:r w:rsidRPr="00670F68">
        <w:rPr>
          <w:rFonts w:asciiTheme="majorHAnsi" w:eastAsia="Calibri" w:hAnsiTheme="majorHAnsi"/>
          <w:b/>
          <w:snapToGrid/>
        </w:rPr>
        <w:t>Project Scope</w:t>
      </w:r>
      <w:r w:rsidR="00D8611F" w:rsidRPr="00670F68">
        <w:rPr>
          <w:rFonts w:asciiTheme="majorHAnsi" w:eastAsia="Calibri" w:hAnsiTheme="majorHAnsi"/>
          <w:b/>
          <w:snapToGrid/>
        </w:rPr>
        <w:t xml:space="preserve"> (</w:t>
      </w:r>
      <w:r w:rsidR="00EF6FD6">
        <w:rPr>
          <w:rFonts w:asciiTheme="majorHAnsi" w:eastAsia="Calibri" w:hAnsiTheme="majorHAnsi"/>
          <w:b/>
          <w:snapToGrid/>
        </w:rPr>
        <w:t>2</w:t>
      </w:r>
      <w:r w:rsidR="00A91C69" w:rsidRPr="00670F68">
        <w:rPr>
          <w:rFonts w:asciiTheme="majorHAnsi" w:eastAsia="Calibri" w:hAnsiTheme="majorHAnsi"/>
          <w:b/>
          <w:snapToGrid/>
        </w:rPr>
        <w:t>0</w:t>
      </w:r>
      <w:r w:rsidR="00D8611F" w:rsidRPr="00670F68">
        <w:rPr>
          <w:rFonts w:asciiTheme="majorHAnsi" w:eastAsia="Calibri" w:hAnsiTheme="majorHAnsi"/>
          <w:b/>
          <w:snapToGrid/>
        </w:rPr>
        <w:t xml:space="preserve"> points)</w:t>
      </w:r>
    </w:p>
    <w:p w14:paraId="54AA98A4" w14:textId="77777777" w:rsidR="001234CD" w:rsidRPr="00670F68" w:rsidRDefault="001234CD" w:rsidP="001234CD">
      <w:pPr>
        <w:pStyle w:val="ListParagraph"/>
        <w:autoSpaceDE w:val="0"/>
        <w:autoSpaceDN w:val="0"/>
        <w:adjustRightInd w:val="0"/>
        <w:ind w:left="1440"/>
        <w:jc w:val="both"/>
        <w:rPr>
          <w:rFonts w:asciiTheme="majorHAnsi" w:eastAsia="Calibri" w:hAnsiTheme="majorHAnsi"/>
          <w:snapToGrid/>
        </w:rPr>
      </w:pPr>
    </w:p>
    <w:p w14:paraId="2FAEB59A" w14:textId="77777777" w:rsidR="00D8611F" w:rsidRPr="00670F68" w:rsidRDefault="00D8611F" w:rsidP="00F94D3B">
      <w:pPr>
        <w:pStyle w:val="ListParagraph"/>
        <w:numPr>
          <w:ilvl w:val="2"/>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Detailed Scope of Services to be Provided</w:t>
      </w:r>
    </w:p>
    <w:p w14:paraId="5C79AF9B" w14:textId="0C9FDBE7" w:rsidR="00D8611F" w:rsidRPr="00670F68" w:rsidRDefault="00D8611F" w:rsidP="00F94D3B">
      <w:pPr>
        <w:pStyle w:val="ListParagraph"/>
        <w:numPr>
          <w:ilvl w:val="3"/>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 xml:space="preserve">Proposed scope of services is appropriate for </w:t>
      </w:r>
      <w:r w:rsidR="00802E63">
        <w:rPr>
          <w:rFonts w:asciiTheme="majorHAnsi" w:eastAsia="Calibri" w:hAnsiTheme="majorHAnsi"/>
          <w:snapToGrid/>
        </w:rPr>
        <w:t>advertised</w:t>
      </w:r>
      <w:r w:rsidRPr="00670F68">
        <w:rPr>
          <w:rFonts w:asciiTheme="majorHAnsi" w:eastAsia="Calibri" w:hAnsiTheme="majorHAnsi"/>
          <w:snapToGrid/>
        </w:rPr>
        <w:t xml:space="preserve"> work.</w:t>
      </w:r>
    </w:p>
    <w:p w14:paraId="4352C545" w14:textId="77777777" w:rsidR="00D8611F" w:rsidRPr="00670F68" w:rsidRDefault="00D8611F" w:rsidP="00F94D3B">
      <w:pPr>
        <w:pStyle w:val="ListParagraph"/>
        <w:numPr>
          <w:ilvl w:val="3"/>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Scope addresses all known project needs and appears achievable in the timeframes set forth in the project schedule.</w:t>
      </w:r>
    </w:p>
    <w:p w14:paraId="5966BA7C" w14:textId="77777777" w:rsidR="00D8611F" w:rsidRPr="00670F68" w:rsidRDefault="00D8611F" w:rsidP="00F94D3B">
      <w:pPr>
        <w:pStyle w:val="ListParagraph"/>
        <w:numPr>
          <w:ilvl w:val="2"/>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Project Deliverables</w:t>
      </w:r>
    </w:p>
    <w:p w14:paraId="550D1FC1" w14:textId="4B079E9B" w:rsidR="00D8611F" w:rsidRDefault="00D8611F" w:rsidP="00F94D3B">
      <w:pPr>
        <w:pStyle w:val="ListParagraph"/>
        <w:numPr>
          <w:ilvl w:val="3"/>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Deliverables are appropriate to schedule and scope set forth in above requirements.</w:t>
      </w:r>
    </w:p>
    <w:p w14:paraId="7E5C74F9" w14:textId="1359A5D2" w:rsidR="00AF0CD6" w:rsidRDefault="00AF0CD6" w:rsidP="00F94D3B">
      <w:pPr>
        <w:pStyle w:val="ListParagraph"/>
        <w:numPr>
          <w:ilvl w:val="2"/>
          <w:numId w:val="14"/>
        </w:numPr>
        <w:autoSpaceDE w:val="0"/>
        <w:autoSpaceDN w:val="0"/>
        <w:adjustRightInd w:val="0"/>
        <w:jc w:val="both"/>
        <w:rPr>
          <w:rFonts w:asciiTheme="majorHAnsi" w:eastAsia="Calibri" w:hAnsiTheme="majorHAnsi"/>
          <w:snapToGrid/>
        </w:rPr>
      </w:pPr>
      <w:r>
        <w:rPr>
          <w:rFonts w:asciiTheme="majorHAnsi" w:eastAsia="Calibri" w:hAnsiTheme="majorHAnsi"/>
          <w:snapToGrid/>
        </w:rPr>
        <w:t>Cost control and budgeting methodology.</w:t>
      </w:r>
    </w:p>
    <w:p w14:paraId="4841631D" w14:textId="77777777" w:rsidR="00E90BE0" w:rsidRPr="00E90BE0" w:rsidRDefault="00E90BE0" w:rsidP="00E90BE0">
      <w:pPr>
        <w:autoSpaceDE w:val="0"/>
        <w:autoSpaceDN w:val="0"/>
        <w:adjustRightInd w:val="0"/>
        <w:jc w:val="both"/>
        <w:rPr>
          <w:rFonts w:asciiTheme="majorHAnsi" w:eastAsia="Calibri" w:hAnsiTheme="majorHAnsi"/>
          <w:snapToGrid/>
        </w:rPr>
      </w:pPr>
    </w:p>
    <w:p w14:paraId="4C0AD8EB" w14:textId="77777777" w:rsidR="00EC6DAE" w:rsidRPr="00670F68" w:rsidRDefault="00EC6DAE" w:rsidP="005D318B">
      <w:pPr>
        <w:pStyle w:val="ListParagraph"/>
        <w:autoSpaceDE w:val="0"/>
        <w:autoSpaceDN w:val="0"/>
        <w:adjustRightInd w:val="0"/>
        <w:ind w:left="2160"/>
        <w:jc w:val="both"/>
        <w:rPr>
          <w:rFonts w:asciiTheme="majorHAnsi" w:eastAsia="Calibri" w:hAnsiTheme="majorHAnsi"/>
          <w:snapToGrid/>
        </w:rPr>
      </w:pPr>
    </w:p>
    <w:p w14:paraId="57309280" w14:textId="2E92B59F" w:rsidR="00670588" w:rsidRPr="00670F68" w:rsidRDefault="00670588" w:rsidP="005D318B">
      <w:pPr>
        <w:pStyle w:val="ListParagraph"/>
        <w:numPr>
          <w:ilvl w:val="0"/>
          <w:numId w:val="14"/>
        </w:numPr>
        <w:autoSpaceDE w:val="0"/>
        <w:autoSpaceDN w:val="0"/>
        <w:adjustRightInd w:val="0"/>
        <w:jc w:val="both"/>
        <w:rPr>
          <w:rFonts w:asciiTheme="majorHAnsi" w:eastAsia="Calibri" w:hAnsiTheme="majorHAnsi"/>
          <w:b/>
          <w:snapToGrid/>
        </w:rPr>
      </w:pPr>
      <w:r w:rsidRPr="00670F68">
        <w:rPr>
          <w:rFonts w:asciiTheme="majorHAnsi" w:eastAsia="Calibri" w:hAnsiTheme="majorHAnsi"/>
          <w:b/>
          <w:snapToGrid/>
        </w:rPr>
        <w:t>Schedule of Work (</w:t>
      </w:r>
      <w:r w:rsidR="00EF6FD6">
        <w:rPr>
          <w:rFonts w:asciiTheme="majorHAnsi" w:eastAsia="Calibri" w:hAnsiTheme="majorHAnsi"/>
          <w:b/>
          <w:snapToGrid/>
        </w:rPr>
        <w:t>2</w:t>
      </w:r>
      <w:r w:rsidR="00884071" w:rsidRPr="00670F68">
        <w:rPr>
          <w:rFonts w:asciiTheme="majorHAnsi" w:eastAsia="Calibri" w:hAnsiTheme="majorHAnsi"/>
          <w:b/>
          <w:snapToGrid/>
        </w:rPr>
        <w:t>0</w:t>
      </w:r>
      <w:r w:rsidRPr="00670F68">
        <w:rPr>
          <w:rFonts w:asciiTheme="majorHAnsi" w:eastAsia="Calibri" w:hAnsiTheme="majorHAnsi"/>
          <w:b/>
          <w:snapToGrid/>
        </w:rPr>
        <w:t xml:space="preserve"> points)</w:t>
      </w:r>
    </w:p>
    <w:p w14:paraId="7D711E40" w14:textId="77777777" w:rsidR="001234CD" w:rsidRPr="00670F68" w:rsidRDefault="001234CD" w:rsidP="001234CD">
      <w:pPr>
        <w:pStyle w:val="ListParagraph"/>
        <w:autoSpaceDE w:val="0"/>
        <w:autoSpaceDN w:val="0"/>
        <w:adjustRightInd w:val="0"/>
        <w:ind w:left="1440"/>
        <w:jc w:val="both"/>
        <w:rPr>
          <w:rFonts w:asciiTheme="majorHAnsi" w:eastAsia="Calibri" w:hAnsiTheme="majorHAnsi"/>
          <w:snapToGrid/>
        </w:rPr>
      </w:pPr>
    </w:p>
    <w:p w14:paraId="1AEF72D2" w14:textId="77777777" w:rsidR="00090C1F" w:rsidRDefault="003A1033" w:rsidP="00F94D3B">
      <w:pPr>
        <w:pStyle w:val="ListParagraph"/>
        <w:numPr>
          <w:ilvl w:val="1"/>
          <w:numId w:val="14"/>
        </w:numPr>
        <w:autoSpaceDE w:val="0"/>
        <w:autoSpaceDN w:val="0"/>
        <w:adjustRightInd w:val="0"/>
        <w:ind w:left="2340"/>
        <w:jc w:val="both"/>
        <w:rPr>
          <w:rFonts w:asciiTheme="majorHAnsi" w:eastAsia="Calibri" w:hAnsiTheme="majorHAnsi"/>
          <w:snapToGrid/>
        </w:rPr>
      </w:pPr>
      <w:r w:rsidRPr="003A1033">
        <w:rPr>
          <w:rFonts w:asciiTheme="majorHAnsi" w:eastAsia="Calibri" w:hAnsiTheme="majorHAnsi"/>
          <w:snapToGrid/>
        </w:rPr>
        <w:t xml:space="preserve">Provide a detailed schedule for all phases of the project and the Proposer’s services including time for reviews and approvals. </w:t>
      </w:r>
    </w:p>
    <w:p w14:paraId="246A1EA5" w14:textId="1D8FFA26" w:rsidR="003A1033" w:rsidRPr="00090C1F" w:rsidRDefault="00090C1F" w:rsidP="00F94D3B">
      <w:pPr>
        <w:pStyle w:val="ListParagraph"/>
        <w:numPr>
          <w:ilvl w:val="1"/>
          <w:numId w:val="14"/>
        </w:numPr>
        <w:autoSpaceDE w:val="0"/>
        <w:autoSpaceDN w:val="0"/>
        <w:adjustRightInd w:val="0"/>
        <w:ind w:left="2340"/>
        <w:jc w:val="both"/>
        <w:rPr>
          <w:rFonts w:asciiTheme="majorHAnsi" w:eastAsia="Calibri" w:hAnsiTheme="majorHAnsi"/>
          <w:snapToGrid/>
        </w:rPr>
      </w:pPr>
      <w:r w:rsidRPr="00090C1F">
        <w:rPr>
          <w:rFonts w:asciiTheme="majorHAnsi" w:eastAsia="Calibri" w:hAnsiTheme="majorHAnsi"/>
          <w:snapToGrid/>
        </w:rPr>
        <w:t xml:space="preserve">Schedule shows completion of the work within or preferably prior to the </w:t>
      </w:r>
      <w:r w:rsidRPr="00090C1F">
        <w:rPr>
          <w:rFonts w:asciiTheme="majorHAnsi" w:hAnsiTheme="majorHAnsi"/>
          <w:color w:val="000000"/>
        </w:rPr>
        <w:t xml:space="preserve">Commission </w:t>
      </w:r>
      <w:r w:rsidRPr="00090C1F">
        <w:rPr>
          <w:rFonts w:asciiTheme="majorHAnsi" w:eastAsia="Calibri" w:hAnsiTheme="majorHAnsi"/>
          <w:snapToGrid/>
        </w:rPr>
        <w:t>overall requested time limits.</w:t>
      </w:r>
    </w:p>
    <w:p w14:paraId="2DCAF2E0" w14:textId="1CA71874" w:rsidR="00EA20FE" w:rsidRPr="00670F68" w:rsidRDefault="00EA20FE" w:rsidP="00F94D3B">
      <w:pPr>
        <w:pStyle w:val="ListParagraph"/>
        <w:numPr>
          <w:ilvl w:val="1"/>
          <w:numId w:val="14"/>
        </w:numPr>
        <w:autoSpaceDE w:val="0"/>
        <w:autoSpaceDN w:val="0"/>
        <w:adjustRightInd w:val="0"/>
        <w:ind w:left="2340"/>
        <w:jc w:val="both"/>
        <w:rPr>
          <w:rFonts w:asciiTheme="majorHAnsi" w:eastAsia="Calibri" w:hAnsiTheme="majorHAnsi"/>
          <w:snapToGrid/>
        </w:rPr>
      </w:pPr>
      <w:r w:rsidRPr="00670F68">
        <w:rPr>
          <w:rFonts w:asciiTheme="majorHAnsi" w:eastAsia="Calibri" w:hAnsiTheme="majorHAnsi"/>
          <w:snapToGrid/>
        </w:rPr>
        <w:t>The schedule serves as a project timeline</w:t>
      </w:r>
      <w:r w:rsidR="00802E63">
        <w:rPr>
          <w:rFonts w:asciiTheme="majorHAnsi" w:eastAsia="Calibri" w:hAnsiTheme="majorHAnsi"/>
          <w:snapToGrid/>
        </w:rPr>
        <w:t>.</w:t>
      </w:r>
      <w:r w:rsidRPr="00670F68">
        <w:rPr>
          <w:rFonts w:asciiTheme="majorHAnsi" w:eastAsia="Calibri" w:hAnsiTheme="majorHAnsi"/>
          <w:snapToGrid/>
        </w:rPr>
        <w:t xml:space="preserve"> </w:t>
      </w:r>
    </w:p>
    <w:p w14:paraId="5DD43F7C" w14:textId="77777777" w:rsidR="003D7A9A" w:rsidRDefault="00670588" w:rsidP="00F94D3B">
      <w:pPr>
        <w:pStyle w:val="ListParagraph"/>
        <w:numPr>
          <w:ilvl w:val="1"/>
          <w:numId w:val="14"/>
        </w:numPr>
        <w:autoSpaceDE w:val="0"/>
        <w:autoSpaceDN w:val="0"/>
        <w:adjustRightInd w:val="0"/>
        <w:ind w:left="2340"/>
        <w:jc w:val="both"/>
        <w:rPr>
          <w:rFonts w:asciiTheme="majorHAnsi" w:eastAsia="Calibri" w:hAnsiTheme="majorHAnsi"/>
          <w:snapToGrid/>
        </w:rPr>
      </w:pPr>
      <w:r w:rsidRPr="00670F68">
        <w:rPr>
          <w:rFonts w:asciiTheme="majorHAnsi" w:eastAsia="Calibri" w:hAnsiTheme="majorHAnsi"/>
          <w:snapToGrid/>
        </w:rPr>
        <w:t xml:space="preserve">The schedule addresses all knowable phases of the project, in accordance with the general requirements of this </w:t>
      </w:r>
      <w:r w:rsidR="00E80ED0" w:rsidRPr="00670F68">
        <w:rPr>
          <w:rFonts w:asciiTheme="majorHAnsi" w:eastAsia="Calibri" w:hAnsiTheme="majorHAnsi"/>
          <w:snapToGrid/>
        </w:rPr>
        <w:t>RFP</w:t>
      </w:r>
      <w:r w:rsidRPr="00670F68">
        <w:rPr>
          <w:rFonts w:asciiTheme="majorHAnsi" w:eastAsia="Calibri" w:hAnsiTheme="majorHAnsi"/>
          <w:snapToGrid/>
        </w:rPr>
        <w:t>.</w:t>
      </w:r>
    </w:p>
    <w:p w14:paraId="0CAC6BC6" w14:textId="77777777" w:rsidR="003A1033" w:rsidRPr="00670F68" w:rsidRDefault="003A1033" w:rsidP="003A1033">
      <w:pPr>
        <w:autoSpaceDE w:val="0"/>
        <w:autoSpaceDN w:val="0"/>
        <w:adjustRightInd w:val="0"/>
        <w:rPr>
          <w:rFonts w:asciiTheme="majorHAnsi" w:eastAsia="Calibri" w:hAnsiTheme="majorHAnsi"/>
          <w:snapToGrid/>
        </w:rPr>
      </w:pPr>
    </w:p>
    <w:p w14:paraId="7FBA1BC3" w14:textId="3470A778" w:rsidR="007028E4" w:rsidRPr="00670F68" w:rsidRDefault="00090C1F" w:rsidP="005D318B">
      <w:pPr>
        <w:pStyle w:val="ListParagraph"/>
        <w:numPr>
          <w:ilvl w:val="0"/>
          <w:numId w:val="14"/>
        </w:numPr>
        <w:autoSpaceDE w:val="0"/>
        <w:autoSpaceDN w:val="0"/>
        <w:adjustRightInd w:val="0"/>
        <w:jc w:val="both"/>
        <w:rPr>
          <w:rFonts w:asciiTheme="majorHAnsi" w:eastAsia="Calibri" w:hAnsiTheme="majorHAnsi"/>
          <w:b/>
          <w:snapToGrid/>
        </w:rPr>
      </w:pPr>
      <w:r>
        <w:rPr>
          <w:rFonts w:asciiTheme="majorHAnsi" w:eastAsia="Calibri" w:hAnsiTheme="majorHAnsi"/>
          <w:b/>
          <w:snapToGrid/>
        </w:rPr>
        <w:t xml:space="preserve">Required </w:t>
      </w:r>
      <w:r w:rsidR="007028E4" w:rsidRPr="00670F68">
        <w:rPr>
          <w:rFonts w:asciiTheme="majorHAnsi" w:eastAsia="Calibri" w:hAnsiTheme="majorHAnsi"/>
          <w:b/>
          <w:snapToGrid/>
        </w:rPr>
        <w:t>Statement</w:t>
      </w:r>
      <w:r w:rsidR="004C7630">
        <w:rPr>
          <w:rFonts w:asciiTheme="majorHAnsi" w:eastAsia="Calibri" w:hAnsiTheme="majorHAnsi"/>
          <w:b/>
          <w:snapToGrid/>
        </w:rPr>
        <w:t>s</w:t>
      </w:r>
      <w:r w:rsidR="007028E4" w:rsidRPr="00670F68">
        <w:rPr>
          <w:rFonts w:asciiTheme="majorHAnsi" w:eastAsia="Calibri" w:hAnsiTheme="majorHAnsi"/>
          <w:b/>
          <w:snapToGrid/>
        </w:rPr>
        <w:t xml:space="preserve"> (</w:t>
      </w:r>
      <w:r w:rsidR="00A848E7" w:rsidRPr="00670F68">
        <w:rPr>
          <w:rFonts w:asciiTheme="majorHAnsi" w:eastAsia="Calibri" w:hAnsiTheme="majorHAnsi"/>
          <w:b/>
          <w:snapToGrid/>
        </w:rPr>
        <w:t>Pass/Fail</w:t>
      </w:r>
      <w:r w:rsidR="007028E4" w:rsidRPr="00670F68">
        <w:rPr>
          <w:rFonts w:asciiTheme="majorHAnsi" w:eastAsia="Calibri" w:hAnsiTheme="majorHAnsi"/>
          <w:b/>
          <w:snapToGrid/>
        </w:rPr>
        <w:t>)</w:t>
      </w:r>
    </w:p>
    <w:p w14:paraId="1DE8BB8B" w14:textId="77777777" w:rsidR="00386B1D" w:rsidRPr="00090C1F" w:rsidRDefault="00386B1D" w:rsidP="00090C1F">
      <w:pPr>
        <w:shd w:val="clear" w:color="auto" w:fill="FFFFFF"/>
        <w:tabs>
          <w:tab w:val="left" w:pos="360"/>
          <w:tab w:val="left" w:pos="720"/>
          <w:tab w:val="left" w:pos="1080"/>
        </w:tabs>
        <w:autoSpaceDE w:val="0"/>
        <w:autoSpaceDN w:val="0"/>
        <w:adjustRightInd w:val="0"/>
        <w:rPr>
          <w:rFonts w:asciiTheme="majorHAnsi" w:hAnsiTheme="majorHAnsi"/>
          <w:b/>
          <w:bCs/>
          <w:color w:val="000000"/>
        </w:rPr>
      </w:pPr>
    </w:p>
    <w:p w14:paraId="046F79C0" w14:textId="77777777" w:rsidR="00386B1D" w:rsidRPr="00670F68" w:rsidRDefault="00386B1D" w:rsidP="00090C1F">
      <w:pPr>
        <w:pStyle w:val="ListParagraph"/>
        <w:numPr>
          <w:ilvl w:val="0"/>
          <w:numId w:val="62"/>
        </w:numPr>
        <w:shd w:val="clear" w:color="auto" w:fill="FFFFFF"/>
        <w:tabs>
          <w:tab w:val="left" w:pos="360"/>
          <w:tab w:val="left" w:pos="720"/>
          <w:tab w:val="left" w:pos="1080"/>
        </w:tabs>
        <w:autoSpaceDE w:val="0"/>
        <w:autoSpaceDN w:val="0"/>
        <w:adjustRightInd w:val="0"/>
        <w:rPr>
          <w:rFonts w:asciiTheme="majorHAnsi" w:hAnsiTheme="majorHAnsi"/>
          <w:b/>
          <w:bCs/>
          <w:color w:val="000000"/>
        </w:rPr>
      </w:pPr>
      <w:r w:rsidRPr="00670F68">
        <w:rPr>
          <w:rFonts w:asciiTheme="majorHAnsi" w:hAnsiTheme="majorHAnsi"/>
          <w:b/>
          <w:bCs/>
          <w:color w:val="000000"/>
        </w:rPr>
        <w:t>Conflict of Interest Statement</w:t>
      </w:r>
    </w:p>
    <w:p w14:paraId="439E5B58" w14:textId="77777777" w:rsidR="00386B1D" w:rsidRPr="00670F68" w:rsidRDefault="00386B1D" w:rsidP="00386B1D">
      <w:pPr>
        <w:shd w:val="clear" w:color="auto" w:fill="FFFFFF"/>
        <w:tabs>
          <w:tab w:val="left" w:pos="360"/>
        </w:tabs>
        <w:autoSpaceDE w:val="0"/>
        <w:autoSpaceDN w:val="0"/>
        <w:adjustRightInd w:val="0"/>
        <w:rPr>
          <w:rFonts w:asciiTheme="majorHAnsi" w:hAnsiTheme="majorHAnsi"/>
        </w:rPr>
      </w:pPr>
    </w:p>
    <w:p w14:paraId="2D231955" w14:textId="04FFC9E5" w:rsidR="00386B1D" w:rsidRPr="00670F68" w:rsidRDefault="00386B1D" w:rsidP="00386B1D">
      <w:pPr>
        <w:pStyle w:val="Default"/>
        <w:ind w:left="1440"/>
        <w:rPr>
          <w:rFonts w:asciiTheme="majorHAnsi" w:hAnsiTheme="majorHAnsi"/>
        </w:rPr>
      </w:pPr>
      <w:r w:rsidRPr="00CD5E28">
        <w:rPr>
          <w:rFonts w:asciiTheme="majorHAnsi" w:hAnsiTheme="majorHAnsi"/>
          <w:color w:val="212121"/>
        </w:rPr>
        <w:t xml:space="preserve">Proposer shall disclose any financial, business, or other relationship with the </w:t>
      </w:r>
      <w:r w:rsidRPr="00CD5E28">
        <w:rPr>
          <w:rFonts w:asciiTheme="majorHAnsi" w:hAnsiTheme="majorHAnsi"/>
        </w:rPr>
        <w:t>Commission</w:t>
      </w:r>
      <w:r w:rsidRPr="00AB3DAC">
        <w:rPr>
          <w:rFonts w:asciiTheme="majorHAnsi" w:hAnsiTheme="majorHAnsi"/>
          <w:color w:val="212121"/>
        </w:rPr>
        <w:t xml:space="preserve"> </w:t>
      </w:r>
      <w:r w:rsidRPr="00670F68">
        <w:rPr>
          <w:rFonts w:asciiTheme="majorHAnsi" w:hAnsiTheme="majorHAnsi"/>
          <w:color w:val="212121"/>
        </w:rPr>
        <w:t xml:space="preserve">that may have an impact upon the outcome of the contract or the construction project.  </w:t>
      </w:r>
      <w:r>
        <w:rPr>
          <w:rFonts w:asciiTheme="majorHAnsi" w:hAnsiTheme="majorHAnsi"/>
          <w:color w:val="212121"/>
        </w:rPr>
        <w:t>Proposer</w:t>
      </w:r>
      <w:r w:rsidRPr="00670F68">
        <w:rPr>
          <w:rFonts w:asciiTheme="majorHAnsi" w:hAnsiTheme="majorHAnsi"/>
          <w:color w:val="212121"/>
        </w:rPr>
        <w:t xml:space="preserve"> shall also </w:t>
      </w:r>
      <w:r w:rsidRPr="00670F68">
        <w:rPr>
          <w:rFonts w:asciiTheme="majorHAnsi" w:hAnsiTheme="majorHAnsi"/>
        </w:rPr>
        <w:t xml:space="preserve">list </w:t>
      </w:r>
      <w:r w:rsidRPr="00670F68">
        <w:rPr>
          <w:rFonts w:asciiTheme="majorHAnsi" w:hAnsiTheme="majorHAnsi"/>
          <w:color w:val="212121"/>
        </w:rPr>
        <w:t xml:space="preserve">current clients who </w:t>
      </w:r>
      <w:r w:rsidRPr="00670F68">
        <w:rPr>
          <w:rFonts w:asciiTheme="majorHAnsi" w:hAnsiTheme="majorHAnsi"/>
        </w:rPr>
        <w:t xml:space="preserve">may have </w:t>
      </w:r>
      <w:r w:rsidRPr="00670F68">
        <w:rPr>
          <w:rFonts w:asciiTheme="majorHAnsi" w:hAnsiTheme="majorHAnsi"/>
          <w:color w:val="212121"/>
        </w:rPr>
        <w:t xml:space="preserve">a </w:t>
      </w:r>
      <w:r w:rsidRPr="00670F68">
        <w:rPr>
          <w:rFonts w:asciiTheme="majorHAnsi" w:hAnsiTheme="majorHAnsi"/>
        </w:rPr>
        <w:t xml:space="preserve">financial interest </w:t>
      </w:r>
      <w:r w:rsidRPr="00670F68">
        <w:rPr>
          <w:rFonts w:asciiTheme="majorHAnsi" w:hAnsiTheme="majorHAnsi"/>
          <w:color w:val="212121"/>
        </w:rPr>
        <w:t xml:space="preserve">in the outcome </w:t>
      </w:r>
      <w:r w:rsidRPr="00670F68">
        <w:rPr>
          <w:rFonts w:asciiTheme="majorHAnsi" w:hAnsiTheme="majorHAnsi"/>
        </w:rPr>
        <w:t xml:space="preserve">of this </w:t>
      </w:r>
      <w:r w:rsidRPr="00670F68">
        <w:rPr>
          <w:rFonts w:asciiTheme="majorHAnsi" w:hAnsiTheme="majorHAnsi"/>
          <w:color w:val="212121"/>
        </w:rPr>
        <w:t xml:space="preserve">contract or the </w:t>
      </w:r>
      <w:r w:rsidRPr="00670F68">
        <w:rPr>
          <w:rFonts w:asciiTheme="majorHAnsi" w:hAnsiTheme="majorHAnsi"/>
        </w:rPr>
        <w:t xml:space="preserve">construction </w:t>
      </w:r>
      <w:r w:rsidRPr="00670F68">
        <w:rPr>
          <w:rFonts w:asciiTheme="majorHAnsi" w:hAnsiTheme="majorHAnsi"/>
          <w:color w:val="212121"/>
        </w:rPr>
        <w:t xml:space="preserve">project </w:t>
      </w:r>
      <w:r w:rsidRPr="00670F68">
        <w:rPr>
          <w:rFonts w:asciiTheme="majorHAnsi" w:hAnsiTheme="majorHAnsi"/>
        </w:rPr>
        <w:t xml:space="preserve">that will follow. The </w:t>
      </w:r>
      <w:r>
        <w:rPr>
          <w:rFonts w:asciiTheme="majorHAnsi" w:hAnsiTheme="majorHAnsi"/>
          <w:color w:val="212121"/>
        </w:rPr>
        <w:t>Proposer</w:t>
      </w:r>
      <w:r w:rsidRPr="00670F68">
        <w:rPr>
          <w:rFonts w:asciiTheme="majorHAnsi" w:hAnsiTheme="majorHAnsi"/>
          <w:color w:val="212121"/>
        </w:rPr>
        <w:t xml:space="preserve"> </w:t>
      </w:r>
      <w:r w:rsidRPr="00670F68">
        <w:rPr>
          <w:rFonts w:asciiTheme="majorHAnsi" w:hAnsiTheme="majorHAnsi"/>
        </w:rPr>
        <w:t xml:space="preserve">shall </w:t>
      </w:r>
      <w:r w:rsidRPr="00670F68">
        <w:rPr>
          <w:rFonts w:asciiTheme="majorHAnsi" w:hAnsiTheme="majorHAnsi"/>
          <w:color w:val="212121"/>
        </w:rPr>
        <w:t>disclose any financial interest or relationship with any construction co</w:t>
      </w:r>
      <w:r w:rsidRPr="00670F68">
        <w:rPr>
          <w:rFonts w:asciiTheme="majorHAnsi" w:hAnsiTheme="majorHAnsi"/>
        </w:rPr>
        <w:t xml:space="preserve">mpany that might submit a bid on the construction project. </w:t>
      </w:r>
    </w:p>
    <w:p w14:paraId="368FADF7" w14:textId="77777777" w:rsidR="00386B1D" w:rsidRPr="00670F68" w:rsidRDefault="00386B1D" w:rsidP="00386B1D">
      <w:pPr>
        <w:shd w:val="clear" w:color="auto" w:fill="FFFFFF"/>
        <w:tabs>
          <w:tab w:val="left" w:pos="360"/>
        </w:tabs>
        <w:autoSpaceDE w:val="0"/>
        <w:autoSpaceDN w:val="0"/>
        <w:adjustRightInd w:val="0"/>
        <w:ind w:left="360" w:hanging="360"/>
        <w:rPr>
          <w:rFonts w:asciiTheme="majorHAnsi" w:hAnsiTheme="majorHAnsi"/>
          <w:color w:val="212121"/>
        </w:rPr>
      </w:pPr>
    </w:p>
    <w:p w14:paraId="4111BFA3" w14:textId="77777777" w:rsidR="00386B1D" w:rsidRPr="00670F68" w:rsidRDefault="00386B1D" w:rsidP="00090C1F">
      <w:pPr>
        <w:pStyle w:val="ListParagraph"/>
        <w:numPr>
          <w:ilvl w:val="0"/>
          <w:numId w:val="62"/>
        </w:numPr>
        <w:shd w:val="clear" w:color="auto" w:fill="FFFFFF"/>
        <w:tabs>
          <w:tab w:val="left" w:pos="360"/>
          <w:tab w:val="left" w:pos="720"/>
          <w:tab w:val="left" w:pos="1080"/>
        </w:tabs>
        <w:autoSpaceDE w:val="0"/>
        <w:autoSpaceDN w:val="0"/>
        <w:adjustRightInd w:val="0"/>
        <w:rPr>
          <w:rFonts w:asciiTheme="majorHAnsi" w:hAnsiTheme="majorHAnsi"/>
          <w:b/>
          <w:bCs/>
          <w:color w:val="000000"/>
        </w:rPr>
      </w:pPr>
      <w:r w:rsidRPr="00670F68">
        <w:rPr>
          <w:rFonts w:asciiTheme="majorHAnsi" w:hAnsiTheme="majorHAnsi"/>
          <w:b/>
          <w:bCs/>
          <w:color w:val="000000"/>
        </w:rPr>
        <w:t>Litigation</w:t>
      </w:r>
    </w:p>
    <w:p w14:paraId="60F1A110" w14:textId="77777777" w:rsidR="00386B1D" w:rsidRPr="00670F68" w:rsidRDefault="00386B1D" w:rsidP="00386B1D">
      <w:pPr>
        <w:autoSpaceDE w:val="0"/>
        <w:autoSpaceDN w:val="0"/>
        <w:adjustRightInd w:val="0"/>
        <w:rPr>
          <w:rFonts w:asciiTheme="majorHAnsi" w:eastAsia="Calibri" w:hAnsiTheme="majorHAnsi"/>
          <w:snapToGrid/>
        </w:rPr>
      </w:pPr>
    </w:p>
    <w:p w14:paraId="30BCBC47" w14:textId="77777777" w:rsidR="00386B1D" w:rsidRPr="00AB3DAC" w:rsidRDefault="00386B1D" w:rsidP="00386B1D">
      <w:pPr>
        <w:shd w:val="clear" w:color="auto" w:fill="FFFFFF"/>
        <w:autoSpaceDE w:val="0"/>
        <w:autoSpaceDN w:val="0"/>
        <w:adjustRightInd w:val="0"/>
        <w:ind w:left="1440"/>
        <w:rPr>
          <w:rFonts w:asciiTheme="majorHAnsi" w:eastAsia="Calibri" w:hAnsiTheme="majorHAnsi"/>
          <w:snapToGrid/>
        </w:rPr>
      </w:pPr>
      <w:r w:rsidRPr="00670F68">
        <w:rPr>
          <w:rFonts w:asciiTheme="majorHAnsi" w:eastAsia="Calibri" w:hAnsiTheme="majorHAnsi"/>
          <w:snapToGrid/>
        </w:rPr>
        <w:t xml:space="preserve">Indicate if </w:t>
      </w:r>
      <w:r>
        <w:rPr>
          <w:rFonts w:asciiTheme="majorHAnsi" w:eastAsia="Calibri" w:hAnsiTheme="majorHAnsi"/>
          <w:snapToGrid/>
        </w:rPr>
        <w:t>Proposer</w:t>
      </w:r>
      <w:r w:rsidRPr="00670F68">
        <w:rPr>
          <w:rFonts w:asciiTheme="majorHAnsi" w:eastAsia="Calibri" w:hAnsiTheme="majorHAnsi"/>
          <w:snapToGrid/>
        </w:rPr>
        <w:t xml:space="preserve"> was involved with any litigation in connection with prior projects. If yes, briefly describe the nature of the litigation and the result.</w:t>
      </w:r>
    </w:p>
    <w:p w14:paraId="538FC4FC" w14:textId="77777777" w:rsidR="00386B1D" w:rsidRPr="00AB3DAC" w:rsidRDefault="00386B1D" w:rsidP="00386B1D">
      <w:pPr>
        <w:shd w:val="clear" w:color="auto" w:fill="FFFFFF"/>
        <w:autoSpaceDE w:val="0"/>
        <w:autoSpaceDN w:val="0"/>
        <w:adjustRightInd w:val="0"/>
        <w:ind w:left="360"/>
        <w:rPr>
          <w:rFonts w:asciiTheme="majorHAnsi" w:eastAsia="Calibri" w:hAnsiTheme="majorHAnsi"/>
          <w:snapToGrid/>
        </w:rPr>
      </w:pPr>
    </w:p>
    <w:p w14:paraId="4D84E58B" w14:textId="77777777" w:rsidR="00386B1D" w:rsidRPr="00AB3DAC" w:rsidRDefault="00386B1D" w:rsidP="00386B1D">
      <w:pPr>
        <w:shd w:val="clear" w:color="auto" w:fill="FFFFFF"/>
        <w:autoSpaceDE w:val="0"/>
        <w:autoSpaceDN w:val="0"/>
        <w:adjustRightInd w:val="0"/>
        <w:ind w:left="360"/>
        <w:rPr>
          <w:rFonts w:asciiTheme="majorHAnsi" w:eastAsia="Calibri" w:hAnsiTheme="majorHAnsi"/>
          <w:snapToGrid/>
        </w:rPr>
      </w:pPr>
    </w:p>
    <w:p w14:paraId="7E66D1D8" w14:textId="77777777" w:rsidR="00386B1D" w:rsidRPr="00670F68" w:rsidRDefault="00386B1D" w:rsidP="00090C1F">
      <w:pPr>
        <w:pStyle w:val="ListParagraph"/>
        <w:numPr>
          <w:ilvl w:val="0"/>
          <w:numId w:val="62"/>
        </w:numPr>
        <w:shd w:val="clear" w:color="auto" w:fill="FFFFFF"/>
        <w:tabs>
          <w:tab w:val="left" w:pos="360"/>
          <w:tab w:val="left" w:pos="720"/>
          <w:tab w:val="left" w:pos="1080"/>
        </w:tabs>
        <w:autoSpaceDE w:val="0"/>
        <w:autoSpaceDN w:val="0"/>
        <w:adjustRightInd w:val="0"/>
        <w:rPr>
          <w:rFonts w:asciiTheme="majorHAnsi" w:hAnsiTheme="majorHAnsi"/>
          <w:b/>
          <w:bCs/>
          <w:color w:val="000000"/>
        </w:rPr>
      </w:pPr>
      <w:r w:rsidRPr="00670F68">
        <w:rPr>
          <w:rFonts w:asciiTheme="majorHAnsi" w:hAnsiTheme="majorHAnsi"/>
          <w:b/>
          <w:bCs/>
          <w:color w:val="000000"/>
        </w:rPr>
        <w:t>Contract Agreement</w:t>
      </w:r>
    </w:p>
    <w:p w14:paraId="498D4F31" w14:textId="77777777" w:rsidR="00386B1D" w:rsidRPr="00670F68" w:rsidRDefault="00386B1D" w:rsidP="00386B1D">
      <w:pPr>
        <w:shd w:val="clear" w:color="auto" w:fill="FFFFFF"/>
        <w:autoSpaceDE w:val="0"/>
        <w:autoSpaceDN w:val="0"/>
        <w:adjustRightInd w:val="0"/>
        <w:rPr>
          <w:rFonts w:asciiTheme="majorHAnsi" w:eastAsia="Calibri" w:hAnsiTheme="majorHAnsi"/>
          <w:snapToGrid/>
        </w:rPr>
      </w:pPr>
    </w:p>
    <w:p w14:paraId="0F61A346" w14:textId="7BB2119F" w:rsidR="00386B1D" w:rsidRPr="00670F68" w:rsidRDefault="00386B1D" w:rsidP="00090C1F">
      <w:pPr>
        <w:shd w:val="clear" w:color="auto" w:fill="FFFFFF"/>
        <w:autoSpaceDE w:val="0"/>
        <w:autoSpaceDN w:val="0"/>
        <w:adjustRightInd w:val="0"/>
        <w:ind w:left="1440"/>
        <w:rPr>
          <w:rFonts w:asciiTheme="majorHAnsi" w:eastAsia="Calibri" w:hAnsiTheme="majorHAnsi"/>
          <w:snapToGrid/>
        </w:rPr>
      </w:pPr>
      <w:r>
        <w:rPr>
          <w:rFonts w:asciiTheme="majorHAnsi" w:eastAsia="Calibri" w:hAnsiTheme="majorHAnsi"/>
          <w:snapToGrid/>
        </w:rPr>
        <w:lastRenderedPageBreak/>
        <w:t>Provide a statement that Proposer accepts the terms of the sample agreement in Appendix C, otherwise, i</w:t>
      </w:r>
      <w:r w:rsidRPr="00670F68">
        <w:rPr>
          <w:rFonts w:asciiTheme="majorHAnsi" w:eastAsia="Calibri" w:hAnsiTheme="majorHAnsi"/>
          <w:snapToGrid/>
        </w:rPr>
        <w:t xml:space="preserve">ndicate if </w:t>
      </w:r>
      <w:r>
        <w:rPr>
          <w:rFonts w:asciiTheme="majorHAnsi" w:eastAsia="Calibri" w:hAnsiTheme="majorHAnsi"/>
          <w:snapToGrid/>
        </w:rPr>
        <w:t>Proposer</w:t>
      </w:r>
      <w:r w:rsidRPr="00670F68">
        <w:rPr>
          <w:rFonts w:asciiTheme="majorHAnsi" w:eastAsia="Calibri" w:hAnsiTheme="majorHAnsi"/>
          <w:snapToGrid/>
        </w:rPr>
        <w:t xml:space="preserve"> has any </w:t>
      </w:r>
      <w:r>
        <w:rPr>
          <w:rFonts w:asciiTheme="majorHAnsi" w:eastAsia="Calibri" w:hAnsiTheme="majorHAnsi"/>
          <w:snapToGrid/>
        </w:rPr>
        <w:t>concerns or requested</w:t>
      </w:r>
      <w:r w:rsidRPr="00670F68">
        <w:rPr>
          <w:rFonts w:asciiTheme="majorHAnsi" w:eastAsia="Calibri" w:hAnsiTheme="majorHAnsi"/>
          <w:snapToGrid/>
        </w:rPr>
        <w:t xml:space="preserve"> changes to the </w:t>
      </w:r>
      <w:r>
        <w:rPr>
          <w:rFonts w:asciiTheme="majorHAnsi" w:eastAsia="Calibri" w:hAnsiTheme="majorHAnsi"/>
          <w:snapToGrid/>
        </w:rPr>
        <w:t xml:space="preserve">sample </w:t>
      </w:r>
      <w:r w:rsidRPr="00670F68">
        <w:rPr>
          <w:rFonts w:asciiTheme="majorHAnsi" w:eastAsia="Calibri" w:hAnsiTheme="majorHAnsi"/>
          <w:snapToGrid/>
        </w:rPr>
        <w:t>agreement.</w:t>
      </w:r>
      <w:r>
        <w:rPr>
          <w:rFonts w:asciiTheme="majorHAnsi" w:eastAsia="Calibri" w:hAnsiTheme="majorHAnsi"/>
          <w:snapToGrid/>
        </w:rPr>
        <w:t xml:space="preserve"> No changes requested during contract negotiation period will be considered that are not included as requested herein.</w:t>
      </w:r>
      <w:r w:rsidR="00090C1F">
        <w:rPr>
          <w:rFonts w:asciiTheme="majorHAnsi" w:eastAsia="Calibri" w:hAnsiTheme="majorHAnsi"/>
          <w:snapToGrid/>
        </w:rPr>
        <w:t xml:space="preserve"> </w:t>
      </w:r>
      <w:r w:rsidRPr="00CD5E28">
        <w:rPr>
          <w:rFonts w:asciiTheme="majorHAnsi" w:eastAsia="Calibri" w:hAnsiTheme="majorHAnsi"/>
          <w:snapToGrid/>
        </w:rPr>
        <w:t xml:space="preserve">Proposer shall provide a statement affirming that the proposal terms shall </w:t>
      </w:r>
      <w:r>
        <w:rPr>
          <w:rFonts w:asciiTheme="majorHAnsi" w:eastAsia="Calibri" w:hAnsiTheme="majorHAnsi"/>
          <w:snapToGrid/>
        </w:rPr>
        <w:tab/>
      </w:r>
      <w:r w:rsidRPr="00CD5E28">
        <w:rPr>
          <w:rFonts w:asciiTheme="majorHAnsi" w:eastAsia="Calibri" w:hAnsiTheme="majorHAnsi"/>
          <w:snapToGrid/>
        </w:rPr>
        <w:t xml:space="preserve"> in effect for (90) ninety days following the</w:t>
      </w:r>
      <w:r w:rsidRPr="00670F68">
        <w:rPr>
          <w:rFonts w:asciiTheme="majorHAnsi" w:eastAsia="Calibri" w:hAnsiTheme="majorHAnsi"/>
          <w:snapToGrid/>
        </w:rPr>
        <w:t xml:space="preserve"> date proposal submittals are due.</w:t>
      </w:r>
    </w:p>
    <w:p w14:paraId="2FC174F2" w14:textId="77777777" w:rsidR="00386B1D" w:rsidRPr="00670F68" w:rsidRDefault="00386B1D" w:rsidP="00386B1D">
      <w:pPr>
        <w:shd w:val="clear" w:color="auto" w:fill="FFFFFF"/>
        <w:autoSpaceDE w:val="0"/>
        <w:autoSpaceDN w:val="0"/>
        <w:adjustRightInd w:val="0"/>
        <w:ind w:left="360"/>
        <w:rPr>
          <w:rFonts w:asciiTheme="majorHAnsi" w:eastAsia="Calibri" w:hAnsiTheme="majorHAnsi"/>
          <w:snapToGrid/>
        </w:rPr>
      </w:pPr>
    </w:p>
    <w:p w14:paraId="2BB02A74" w14:textId="77777777" w:rsidR="00386B1D" w:rsidRPr="00670F68" w:rsidRDefault="00386B1D" w:rsidP="00090C1F">
      <w:pPr>
        <w:pStyle w:val="ListParagraph"/>
        <w:numPr>
          <w:ilvl w:val="0"/>
          <w:numId w:val="62"/>
        </w:numPr>
        <w:shd w:val="clear" w:color="auto" w:fill="FFFFFF"/>
        <w:tabs>
          <w:tab w:val="left" w:pos="360"/>
          <w:tab w:val="left" w:pos="720"/>
          <w:tab w:val="left" w:pos="1080"/>
        </w:tabs>
        <w:autoSpaceDE w:val="0"/>
        <w:autoSpaceDN w:val="0"/>
        <w:adjustRightInd w:val="0"/>
        <w:rPr>
          <w:rFonts w:asciiTheme="majorHAnsi" w:hAnsiTheme="majorHAnsi"/>
          <w:b/>
          <w:bCs/>
          <w:color w:val="000000"/>
        </w:rPr>
      </w:pPr>
      <w:r w:rsidRPr="00670F68">
        <w:rPr>
          <w:rFonts w:asciiTheme="majorHAnsi" w:hAnsiTheme="majorHAnsi"/>
          <w:b/>
          <w:bCs/>
          <w:color w:val="000000"/>
        </w:rPr>
        <w:t>Federal-Aid Provisions</w:t>
      </w:r>
    </w:p>
    <w:p w14:paraId="20596302" w14:textId="77777777" w:rsidR="00386B1D" w:rsidRPr="00670F68" w:rsidRDefault="00386B1D" w:rsidP="00386B1D">
      <w:pPr>
        <w:pStyle w:val="ListParagraph"/>
        <w:shd w:val="clear" w:color="auto" w:fill="FFFFFF"/>
        <w:tabs>
          <w:tab w:val="left" w:pos="360"/>
          <w:tab w:val="left" w:pos="720"/>
          <w:tab w:val="left" w:pos="1080"/>
        </w:tabs>
        <w:autoSpaceDE w:val="0"/>
        <w:autoSpaceDN w:val="0"/>
        <w:adjustRightInd w:val="0"/>
        <w:rPr>
          <w:rFonts w:asciiTheme="majorHAnsi" w:hAnsiTheme="majorHAnsi"/>
          <w:b/>
          <w:bCs/>
          <w:color w:val="000000"/>
        </w:rPr>
      </w:pPr>
    </w:p>
    <w:p w14:paraId="2038066A" w14:textId="43067579" w:rsidR="00386B1D" w:rsidRPr="00670F68" w:rsidRDefault="00386B1D" w:rsidP="00386B1D">
      <w:pPr>
        <w:shd w:val="clear" w:color="auto" w:fill="FFFFFF"/>
        <w:autoSpaceDE w:val="0"/>
        <w:autoSpaceDN w:val="0"/>
        <w:adjustRightInd w:val="0"/>
        <w:ind w:left="1440"/>
        <w:rPr>
          <w:rFonts w:asciiTheme="majorHAnsi" w:eastAsia="Calibri" w:hAnsiTheme="majorHAnsi"/>
          <w:snapToGrid/>
        </w:rPr>
      </w:pPr>
      <w:r>
        <w:rPr>
          <w:rFonts w:asciiTheme="majorHAnsi" w:eastAsia="Calibri" w:hAnsiTheme="majorHAnsi"/>
          <w:snapToGrid/>
        </w:rPr>
        <w:t>Proposer’s</w:t>
      </w:r>
      <w:r w:rsidRPr="00670F68">
        <w:rPr>
          <w:rFonts w:asciiTheme="majorHAnsi" w:eastAsia="Calibri" w:hAnsiTheme="majorHAnsi"/>
          <w:snapToGrid/>
        </w:rPr>
        <w:t xml:space="preserve"> services </w:t>
      </w:r>
      <w:r>
        <w:rPr>
          <w:rFonts w:asciiTheme="majorHAnsi" w:eastAsia="Calibri" w:hAnsiTheme="majorHAnsi"/>
          <w:snapToGrid/>
        </w:rPr>
        <w:t>will</w:t>
      </w:r>
      <w:r w:rsidRPr="00AB3DAC">
        <w:rPr>
          <w:rFonts w:asciiTheme="majorHAnsi" w:eastAsia="Calibri" w:hAnsiTheme="majorHAnsi"/>
          <w:snapToGrid/>
        </w:rPr>
        <w:t xml:space="preserve"> </w:t>
      </w:r>
      <w:r w:rsidRPr="00670F68">
        <w:rPr>
          <w:rFonts w:asciiTheme="majorHAnsi" w:eastAsia="Calibri" w:hAnsiTheme="majorHAnsi"/>
          <w:snapToGrid/>
        </w:rPr>
        <w:t>be federally funded, which necessitate compliance with additional requirements.</w:t>
      </w:r>
      <w:r w:rsidRPr="00AB3DAC">
        <w:rPr>
          <w:rFonts w:asciiTheme="majorHAnsi" w:eastAsia="Calibri" w:hAnsiTheme="majorHAnsi"/>
          <w:snapToGrid/>
        </w:rPr>
        <w:t xml:space="preserve"> </w:t>
      </w:r>
      <w:r w:rsidRPr="00670F68">
        <w:rPr>
          <w:rFonts w:asciiTheme="majorHAnsi" w:eastAsia="Calibri" w:hAnsiTheme="majorHAnsi"/>
          <w:snapToGrid/>
        </w:rPr>
        <w:t xml:space="preserve">Special </w:t>
      </w:r>
      <w:r w:rsidRPr="00CD5E28">
        <w:rPr>
          <w:rFonts w:asciiTheme="majorHAnsi" w:eastAsia="Calibri" w:hAnsiTheme="majorHAnsi"/>
          <w:snapToGrid/>
        </w:rPr>
        <w:t>attention is directed to Attachment 3 – Local</w:t>
      </w:r>
      <w:r w:rsidRPr="00670F68">
        <w:rPr>
          <w:rFonts w:asciiTheme="majorHAnsi" w:eastAsia="Calibri" w:hAnsiTheme="majorHAnsi"/>
          <w:snapToGrid/>
        </w:rPr>
        <w:t xml:space="preserve"> Assistance Procedures Manual Exhibit (LAPM) 10-I, Notice to </w:t>
      </w:r>
      <w:r>
        <w:rPr>
          <w:rFonts w:asciiTheme="majorHAnsi" w:eastAsia="Calibri" w:hAnsiTheme="majorHAnsi"/>
          <w:snapToGrid/>
        </w:rPr>
        <w:t>Proposer</w:t>
      </w:r>
      <w:r w:rsidRPr="00670F68">
        <w:rPr>
          <w:rFonts w:asciiTheme="majorHAnsi" w:eastAsia="Calibri" w:hAnsiTheme="majorHAnsi"/>
          <w:snapToGrid/>
        </w:rPr>
        <w:t>s DBE Information</w:t>
      </w:r>
      <w:r>
        <w:rPr>
          <w:rFonts w:asciiTheme="majorHAnsi" w:eastAsia="Calibri" w:hAnsiTheme="majorHAnsi"/>
          <w:snapToGrid/>
        </w:rPr>
        <w:t>.</w:t>
      </w:r>
      <w:r w:rsidRPr="00670F68">
        <w:rPr>
          <w:rFonts w:asciiTheme="majorHAnsi" w:eastAsia="Calibri" w:hAnsiTheme="majorHAnsi"/>
          <w:snapToGrid/>
        </w:rPr>
        <w:t xml:space="preserve">  </w:t>
      </w:r>
      <w:r>
        <w:rPr>
          <w:rFonts w:asciiTheme="majorHAnsi" w:eastAsia="Calibri" w:hAnsiTheme="majorHAnsi"/>
          <w:snapToGrid/>
        </w:rPr>
        <w:t>Proposer</w:t>
      </w:r>
      <w:r w:rsidRPr="00670F68">
        <w:rPr>
          <w:rFonts w:asciiTheme="majorHAnsi" w:eastAsia="Calibri" w:hAnsiTheme="majorHAnsi"/>
          <w:snapToGrid/>
        </w:rPr>
        <w:t xml:space="preserve"> </w:t>
      </w:r>
      <w:r w:rsidRPr="00AB3DAC">
        <w:rPr>
          <w:rFonts w:asciiTheme="majorHAnsi" w:eastAsia="Calibri" w:hAnsiTheme="majorHAnsi"/>
          <w:snapToGrid/>
        </w:rPr>
        <w:t xml:space="preserve">may be required to </w:t>
      </w:r>
      <w:r w:rsidRPr="00670F68">
        <w:rPr>
          <w:rFonts w:asciiTheme="majorHAnsi" w:eastAsia="Calibri" w:hAnsiTheme="majorHAnsi"/>
          <w:snapToGrid/>
        </w:rPr>
        <w:t>complete and submit the following forms</w:t>
      </w:r>
      <w:r w:rsidRPr="00AB3DAC">
        <w:rPr>
          <w:rFonts w:asciiTheme="majorHAnsi" w:eastAsia="Calibri" w:hAnsiTheme="majorHAnsi"/>
          <w:snapToGrid/>
        </w:rPr>
        <w:t xml:space="preserve"> following contract aw</w:t>
      </w:r>
      <w:r>
        <w:rPr>
          <w:rFonts w:asciiTheme="majorHAnsi" w:eastAsia="Calibri" w:hAnsiTheme="majorHAnsi"/>
          <w:snapToGrid/>
        </w:rPr>
        <w:t>a</w:t>
      </w:r>
      <w:r w:rsidRPr="00AB3DAC">
        <w:rPr>
          <w:rFonts w:asciiTheme="majorHAnsi" w:eastAsia="Calibri" w:hAnsiTheme="majorHAnsi"/>
          <w:snapToGrid/>
        </w:rPr>
        <w:t>rd</w:t>
      </w:r>
      <w:r w:rsidRPr="00670F68">
        <w:rPr>
          <w:rFonts w:asciiTheme="majorHAnsi" w:eastAsia="Calibri" w:hAnsiTheme="majorHAnsi"/>
          <w:snapToGrid/>
        </w:rPr>
        <w:t>.</w:t>
      </w:r>
      <w:r w:rsidRPr="00AB3DAC">
        <w:rPr>
          <w:rFonts w:asciiTheme="majorHAnsi" w:eastAsia="Calibri" w:hAnsiTheme="majorHAnsi"/>
          <w:snapToGrid/>
        </w:rPr>
        <w:t xml:space="preserve"> </w:t>
      </w:r>
      <w:r w:rsidRPr="00670F68">
        <w:rPr>
          <w:rFonts w:asciiTheme="majorHAnsi" w:eastAsia="Calibri" w:hAnsiTheme="majorHAnsi"/>
          <w:snapToGrid/>
        </w:rPr>
        <w:t xml:space="preserve">These forms and instructions are provided for the </w:t>
      </w:r>
      <w:r>
        <w:rPr>
          <w:rFonts w:asciiTheme="majorHAnsi" w:eastAsia="Calibri" w:hAnsiTheme="majorHAnsi"/>
          <w:snapToGrid/>
        </w:rPr>
        <w:t>Proposer</w:t>
      </w:r>
      <w:r w:rsidRPr="00670F68">
        <w:rPr>
          <w:rFonts w:asciiTheme="majorHAnsi" w:eastAsia="Calibri" w:hAnsiTheme="majorHAnsi"/>
          <w:snapToGrid/>
        </w:rPr>
        <w:t xml:space="preserve"> at </w:t>
      </w:r>
      <w:hyperlink r:id="rId16" w:history="1">
        <w:r w:rsidRPr="00670F68">
          <w:rPr>
            <w:rStyle w:val="Hyperlink"/>
            <w:rFonts w:asciiTheme="majorHAnsi" w:eastAsia="Calibri" w:hAnsiTheme="majorHAnsi"/>
            <w:snapToGrid/>
          </w:rPr>
          <w:t>https://dot.ca.gov/programs/local-assistance/guidelines-and-procedures/local-assistance-procedures-manual-lapm</w:t>
        </w:r>
      </w:hyperlink>
      <w:r w:rsidRPr="00670F68">
        <w:rPr>
          <w:rFonts w:asciiTheme="majorHAnsi" w:eastAsia="Calibri" w:hAnsiTheme="majorHAnsi"/>
          <w:snapToGrid/>
        </w:rPr>
        <w:t>.</w:t>
      </w:r>
    </w:p>
    <w:p w14:paraId="205ADD50" w14:textId="77777777" w:rsidR="00386B1D" w:rsidRPr="00670F68" w:rsidRDefault="00386B1D" w:rsidP="00386B1D">
      <w:pPr>
        <w:shd w:val="clear" w:color="auto" w:fill="FFFFFF"/>
        <w:autoSpaceDE w:val="0"/>
        <w:autoSpaceDN w:val="0"/>
        <w:adjustRightInd w:val="0"/>
        <w:ind w:left="360"/>
        <w:rPr>
          <w:rFonts w:asciiTheme="majorHAnsi" w:eastAsia="Calibri" w:hAnsiTheme="majorHAnsi"/>
          <w:snapToGrid/>
        </w:rPr>
      </w:pPr>
    </w:p>
    <w:p w14:paraId="58E90081" w14:textId="77777777" w:rsidR="00386B1D" w:rsidRPr="00670F68" w:rsidRDefault="00386B1D" w:rsidP="00386B1D">
      <w:pPr>
        <w:pStyle w:val="ListParagraph"/>
        <w:numPr>
          <w:ilvl w:val="0"/>
          <w:numId w:val="35"/>
        </w:numPr>
        <w:shd w:val="clear" w:color="auto" w:fill="FFFFFF"/>
        <w:autoSpaceDE w:val="0"/>
        <w:autoSpaceDN w:val="0"/>
        <w:adjustRightInd w:val="0"/>
        <w:rPr>
          <w:rFonts w:asciiTheme="majorHAnsi" w:eastAsia="Calibri" w:hAnsiTheme="majorHAnsi"/>
          <w:b/>
          <w:snapToGrid/>
        </w:rPr>
      </w:pPr>
      <w:r w:rsidRPr="00670F68">
        <w:rPr>
          <w:rFonts w:asciiTheme="majorHAnsi" w:eastAsia="Calibri" w:hAnsiTheme="majorHAnsi"/>
          <w:snapToGrid/>
        </w:rPr>
        <w:t xml:space="preserve">Local Agency </w:t>
      </w:r>
      <w:r>
        <w:rPr>
          <w:rFonts w:asciiTheme="majorHAnsi" w:eastAsia="Calibri" w:hAnsiTheme="majorHAnsi"/>
          <w:snapToGrid/>
        </w:rPr>
        <w:t>Proposer</w:t>
      </w:r>
      <w:r w:rsidRPr="00670F68">
        <w:rPr>
          <w:rFonts w:asciiTheme="majorHAnsi" w:eastAsia="Calibri" w:hAnsiTheme="majorHAnsi"/>
          <w:snapToGrid/>
        </w:rPr>
        <w:t xml:space="preserve"> DBE Commitment (</w:t>
      </w:r>
      <w:r>
        <w:rPr>
          <w:rFonts w:asciiTheme="majorHAnsi" w:eastAsia="Calibri" w:hAnsiTheme="majorHAnsi"/>
          <w:snapToGrid/>
        </w:rPr>
        <w:t>PROPOSER</w:t>
      </w:r>
      <w:r w:rsidRPr="00670F68">
        <w:rPr>
          <w:rFonts w:asciiTheme="majorHAnsi" w:eastAsia="Calibri" w:hAnsiTheme="majorHAnsi"/>
          <w:snapToGrid/>
        </w:rPr>
        <w:t xml:space="preserve"> Contracts); (LAPM 10-O1). </w:t>
      </w:r>
    </w:p>
    <w:p w14:paraId="7DC548C6" w14:textId="77777777" w:rsidR="00386B1D" w:rsidRPr="00670F68" w:rsidRDefault="00386B1D" w:rsidP="00386B1D">
      <w:pPr>
        <w:pStyle w:val="ListParagraph"/>
        <w:numPr>
          <w:ilvl w:val="0"/>
          <w:numId w:val="35"/>
        </w:numPr>
        <w:shd w:val="clear" w:color="auto" w:fill="FFFFFF"/>
        <w:autoSpaceDE w:val="0"/>
        <w:autoSpaceDN w:val="0"/>
        <w:adjustRightInd w:val="0"/>
        <w:rPr>
          <w:rFonts w:asciiTheme="majorHAnsi" w:eastAsia="Calibri" w:hAnsiTheme="majorHAnsi"/>
          <w:snapToGrid/>
        </w:rPr>
      </w:pPr>
      <w:r w:rsidRPr="00670F68">
        <w:rPr>
          <w:rFonts w:asciiTheme="majorHAnsi" w:eastAsia="Calibri" w:hAnsiTheme="majorHAnsi"/>
          <w:snapToGrid/>
        </w:rPr>
        <w:t>DBE Information - Good Faith Effort (LAPM 15-H)</w:t>
      </w:r>
    </w:p>
    <w:p w14:paraId="1485D40F" w14:textId="77777777" w:rsidR="00386B1D" w:rsidRPr="00670F68" w:rsidRDefault="00386B1D" w:rsidP="00386B1D">
      <w:pPr>
        <w:pStyle w:val="ListParagraph"/>
        <w:numPr>
          <w:ilvl w:val="0"/>
          <w:numId w:val="35"/>
        </w:numPr>
        <w:shd w:val="clear" w:color="auto" w:fill="FFFFFF"/>
        <w:autoSpaceDE w:val="0"/>
        <w:autoSpaceDN w:val="0"/>
        <w:adjustRightInd w:val="0"/>
        <w:rPr>
          <w:rFonts w:asciiTheme="majorHAnsi" w:eastAsia="Calibri" w:hAnsiTheme="majorHAnsi"/>
          <w:snapToGrid/>
        </w:rPr>
      </w:pPr>
      <w:r w:rsidRPr="00670F68">
        <w:rPr>
          <w:rFonts w:asciiTheme="majorHAnsi" w:eastAsia="Calibri" w:hAnsiTheme="majorHAnsi"/>
          <w:snapToGrid/>
        </w:rPr>
        <w:t>Disclosure of Lobbying Activities (LAPM 10-Q)</w:t>
      </w:r>
    </w:p>
    <w:p w14:paraId="6D250E4D" w14:textId="77777777" w:rsidR="00386B1D" w:rsidRPr="00670F68" w:rsidRDefault="00386B1D" w:rsidP="00386B1D">
      <w:pPr>
        <w:shd w:val="clear" w:color="auto" w:fill="FFFFFF"/>
        <w:autoSpaceDE w:val="0"/>
        <w:autoSpaceDN w:val="0"/>
        <w:adjustRightInd w:val="0"/>
        <w:ind w:left="360"/>
        <w:rPr>
          <w:rFonts w:asciiTheme="majorHAnsi" w:eastAsia="Calibri" w:hAnsiTheme="majorHAnsi"/>
          <w:snapToGrid/>
        </w:rPr>
      </w:pPr>
    </w:p>
    <w:p w14:paraId="41A28B6C" w14:textId="77777777" w:rsidR="00386B1D" w:rsidRPr="00670F68" w:rsidRDefault="00386B1D" w:rsidP="00386B1D">
      <w:pPr>
        <w:shd w:val="clear" w:color="auto" w:fill="FFFFFF"/>
        <w:autoSpaceDE w:val="0"/>
        <w:autoSpaceDN w:val="0"/>
        <w:adjustRightInd w:val="0"/>
        <w:ind w:left="1440"/>
        <w:rPr>
          <w:rFonts w:asciiTheme="majorHAnsi" w:eastAsia="Calibri" w:hAnsiTheme="majorHAnsi"/>
          <w:snapToGrid/>
        </w:rPr>
      </w:pPr>
      <w:r w:rsidRPr="00670F68">
        <w:rPr>
          <w:rFonts w:asciiTheme="majorHAnsi" w:eastAsia="Calibri" w:hAnsiTheme="majorHAnsi"/>
          <w:snapToGrid/>
        </w:rPr>
        <w:t xml:space="preserve">Upon award and through completion of the project, the successful </w:t>
      </w:r>
      <w:r>
        <w:rPr>
          <w:rFonts w:asciiTheme="majorHAnsi" w:eastAsia="Calibri" w:hAnsiTheme="majorHAnsi"/>
          <w:snapToGrid/>
        </w:rPr>
        <w:t>Proposer</w:t>
      </w:r>
      <w:r w:rsidRPr="00670F68">
        <w:rPr>
          <w:rFonts w:asciiTheme="majorHAnsi" w:eastAsia="Calibri" w:hAnsiTheme="majorHAnsi"/>
          <w:snapToGrid/>
        </w:rPr>
        <w:t xml:space="preserve"> </w:t>
      </w:r>
      <w:r>
        <w:rPr>
          <w:rFonts w:asciiTheme="majorHAnsi" w:eastAsia="Calibri" w:hAnsiTheme="majorHAnsi"/>
          <w:snapToGrid/>
        </w:rPr>
        <w:t>may</w:t>
      </w:r>
      <w:r w:rsidRPr="00670F68">
        <w:rPr>
          <w:rFonts w:asciiTheme="majorHAnsi" w:eastAsia="Calibri" w:hAnsiTheme="majorHAnsi"/>
          <w:snapToGrid/>
        </w:rPr>
        <w:t xml:space="preserve"> be required to follow applicable federal-aid requirements and </w:t>
      </w:r>
      <w:r w:rsidRPr="00AB3DAC">
        <w:rPr>
          <w:rFonts w:asciiTheme="majorHAnsi" w:eastAsia="Calibri" w:hAnsiTheme="majorHAnsi"/>
          <w:snapToGrid/>
        </w:rPr>
        <w:t>may be required to</w:t>
      </w:r>
      <w:r w:rsidRPr="00670F68">
        <w:rPr>
          <w:rFonts w:asciiTheme="majorHAnsi" w:eastAsia="Calibri" w:hAnsiTheme="majorHAnsi"/>
          <w:snapToGrid/>
        </w:rPr>
        <w:t xml:space="preserve"> complete and submit the following forms at the time of award:</w:t>
      </w:r>
    </w:p>
    <w:p w14:paraId="13CB73FF" w14:textId="77777777" w:rsidR="00386B1D" w:rsidRPr="00670F68" w:rsidRDefault="00386B1D" w:rsidP="00386B1D">
      <w:pPr>
        <w:shd w:val="clear" w:color="auto" w:fill="FFFFFF"/>
        <w:autoSpaceDE w:val="0"/>
        <w:autoSpaceDN w:val="0"/>
        <w:adjustRightInd w:val="0"/>
        <w:ind w:left="360"/>
        <w:rPr>
          <w:rFonts w:asciiTheme="majorHAnsi" w:eastAsia="Calibri" w:hAnsiTheme="majorHAnsi"/>
          <w:snapToGrid/>
        </w:rPr>
      </w:pPr>
    </w:p>
    <w:p w14:paraId="7F2DB53B" w14:textId="77777777" w:rsidR="00386B1D" w:rsidRPr="00670F68" w:rsidRDefault="00386B1D" w:rsidP="00386B1D">
      <w:pPr>
        <w:pStyle w:val="ListParagraph"/>
        <w:numPr>
          <w:ilvl w:val="0"/>
          <w:numId w:val="34"/>
        </w:numPr>
        <w:shd w:val="clear" w:color="auto" w:fill="FFFFFF"/>
        <w:autoSpaceDE w:val="0"/>
        <w:autoSpaceDN w:val="0"/>
        <w:adjustRightInd w:val="0"/>
        <w:rPr>
          <w:rFonts w:asciiTheme="majorHAnsi" w:eastAsia="Calibri" w:hAnsiTheme="majorHAnsi"/>
          <w:snapToGrid/>
        </w:rPr>
      </w:pPr>
      <w:r w:rsidRPr="00670F68">
        <w:rPr>
          <w:rFonts w:asciiTheme="majorHAnsi" w:eastAsia="Calibri" w:hAnsiTheme="majorHAnsi"/>
          <w:snapToGrid/>
        </w:rPr>
        <w:t xml:space="preserve">Local Agency </w:t>
      </w:r>
      <w:r>
        <w:rPr>
          <w:rFonts w:asciiTheme="majorHAnsi" w:eastAsia="Calibri" w:hAnsiTheme="majorHAnsi"/>
          <w:snapToGrid/>
        </w:rPr>
        <w:t>Proposer</w:t>
      </w:r>
      <w:r w:rsidRPr="00670F68">
        <w:rPr>
          <w:rFonts w:asciiTheme="majorHAnsi" w:eastAsia="Calibri" w:hAnsiTheme="majorHAnsi"/>
          <w:snapToGrid/>
        </w:rPr>
        <w:t xml:space="preserve"> DBE Information (</w:t>
      </w:r>
      <w:r>
        <w:rPr>
          <w:rFonts w:asciiTheme="majorHAnsi" w:eastAsia="Calibri" w:hAnsiTheme="majorHAnsi"/>
          <w:snapToGrid/>
        </w:rPr>
        <w:t>PROPOSER</w:t>
      </w:r>
      <w:r w:rsidRPr="00670F68">
        <w:rPr>
          <w:rFonts w:asciiTheme="majorHAnsi" w:eastAsia="Calibri" w:hAnsiTheme="majorHAnsi"/>
          <w:snapToGrid/>
        </w:rPr>
        <w:t xml:space="preserve"> Contracts) (LAPM 10-02)</w:t>
      </w:r>
    </w:p>
    <w:p w14:paraId="178E9019" w14:textId="77777777" w:rsidR="00386B1D" w:rsidRPr="00670F68" w:rsidRDefault="00386B1D" w:rsidP="00386B1D">
      <w:pPr>
        <w:pStyle w:val="ListParagraph"/>
        <w:numPr>
          <w:ilvl w:val="0"/>
          <w:numId w:val="34"/>
        </w:numPr>
        <w:shd w:val="clear" w:color="auto" w:fill="FFFFFF"/>
        <w:autoSpaceDE w:val="0"/>
        <w:autoSpaceDN w:val="0"/>
        <w:adjustRightInd w:val="0"/>
        <w:rPr>
          <w:rFonts w:asciiTheme="majorHAnsi" w:eastAsia="Calibri" w:hAnsiTheme="majorHAnsi"/>
          <w:snapToGrid/>
        </w:rPr>
      </w:pPr>
      <w:r w:rsidRPr="00670F68">
        <w:rPr>
          <w:rFonts w:asciiTheme="majorHAnsi" w:eastAsia="Calibri" w:hAnsiTheme="majorHAnsi"/>
          <w:snapToGrid/>
        </w:rPr>
        <w:t>Any other relevant forms required during the project.</w:t>
      </w:r>
    </w:p>
    <w:p w14:paraId="533AC5B4" w14:textId="77777777" w:rsidR="00386B1D" w:rsidRPr="00670F68" w:rsidRDefault="00386B1D" w:rsidP="00386B1D">
      <w:pPr>
        <w:shd w:val="clear" w:color="auto" w:fill="FFFFFF"/>
        <w:autoSpaceDE w:val="0"/>
        <w:autoSpaceDN w:val="0"/>
        <w:adjustRightInd w:val="0"/>
        <w:rPr>
          <w:rFonts w:asciiTheme="majorHAnsi" w:eastAsia="Calibri" w:hAnsiTheme="majorHAnsi"/>
          <w:snapToGrid/>
        </w:rPr>
      </w:pPr>
    </w:p>
    <w:p w14:paraId="10BF7431" w14:textId="77777777" w:rsidR="00386B1D" w:rsidRPr="00670F68" w:rsidRDefault="00386B1D" w:rsidP="00386B1D">
      <w:pPr>
        <w:shd w:val="clear" w:color="auto" w:fill="FFFFFF"/>
        <w:autoSpaceDE w:val="0"/>
        <w:autoSpaceDN w:val="0"/>
        <w:adjustRightInd w:val="0"/>
        <w:ind w:left="1440"/>
        <w:rPr>
          <w:rFonts w:asciiTheme="majorHAnsi" w:eastAsia="Calibri" w:hAnsiTheme="majorHAnsi"/>
          <w:snapToGrid/>
        </w:rPr>
      </w:pPr>
      <w:r>
        <w:rPr>
          <w:rFonts w:asciiTheme="majorHAnsi" w:eastAsia="Calibri" w:hAnsiTheme="majorHAnsi"/>
          <w:snapToGrid/>
        </w:rPr>
        <w:t>Proposer</w:t>
      </w:r>
      <w:r w:rsidRPr="00670F68">
        <w:rPr>
          <w:rFonts w:asciiTheme="majorHAnsi" w:eastAsia="Calibri" w:hAnsiTheme="majorHAnsi"/>
          <w:snapToGrid/>
        </w:rPr>
        <w:t xml:space="preserve"> shall demonstrate familiarity </w:t>
      </w:r>
      <w:r>
        <w:rPr>
          <w:rFonts w:asciiTheme="majorHAnsi" w:eastAsia="Calibri" w:hAnsiTheme="majorHAnsi"/>
          <w:snapToGrid/>
        </w:rPr>
        <w:t>with</w:t>
      </w:r>
      <w:r w:rsidRPr="00670F68">
        <w:rPr>
          <w:rFonts w:asciiTheme="majorHAnsi" w:eastAsia="Calibri" w:hAnsiTheme="majorHAnsi"/>
          <w:snapToGrid/>
        </w:rPr>
        <w:t xml:space="preserve"> providing services for federally funded projects and have a clear understanding of requirements/needs to facilitate the project through Caltrans Local Assistance and Local Assistance Procedures Manual. </w:t>
      </w:r>
    </w:p>
    <w:p w14:paraId="5A7CDF07" w14:textId="77777777" w:rsidR="00386B1D" w:rsidRPr="00EF6FD6" w:rsidRDefault="00386B1D" w:rsidP="00386B1D">
      <w:pPr>
        <w:pStyle w:val="ListParagraph"/>
        <w:numPr>
          <w:ilvl w:val="2"/>
          <w:numId w:val="14"/>
        </w:numPr>
        <w:autoSpaceDE w:val="0"/>
        <w:autoSpaceDN w:val="0"/>
        <w:adjustRightInd w:val="0"/>
        <w:jc w:val="both"/>
        <w:rPr>
          <w:rFonts w:asciiTheme="majorHAnsi" w:eastAsia="Calibri" w:hAnsiTheme="majorHAnsi"/>
          <w:snapToGrid/>
        </w:rPr>
      </w:pPr>
    </w:p>
    <w:p w14:paraId="5246DA86" w14:textId="77777777" w:rsidR="00EF6FD6" w:rsidRPr="00670F68" w:rsidRDefault="00EF6FD6" w:rsidP="00EF6FD6">
      <w:pPr>
        <w:pStyle w:val="ListParagraph"/>
        <w:autoSpaceDE w:val="0"/>
        <w:autoSpaceDN w:val="0"/>
        <w:adjustRightInd w:val="0"/>
        <w:ind w:left="1440"/>
        <w:jc w:val="both"/>
        <w:rPr>
          <w:rFonts w:asciiTheme="majorHAnsi" w:eastAsia="Calibri" w:hAnsiTheme="majorHAnsi"/>
          <w:snapToGrid/>
        </w:rPr>
      </w:pPr>
    </w:p>
    <w:p w14:paraId="158B684F" w14:textId="6CE5D781" w:rsidR="00FD558F" w:rsidRDefault="00FD558F" w:rsidP="00FD558F">
      <w:pPr>
        <w:pStyle w:val="ListParagraph"/>
        <w:numPr>
          <w:ilvl w:val="0"/>
          <w:numId w:val="14"/>
        </w:numPr>
        <w:autoSpaceDE w:val="0"/>
        <w:autoSpaceDN w:val="0"/>
        <w:adjustRightInd w:val="0"/>
        <w:jc w:val="both"/>
        <w:rPr>
          <w:rFonts w:asciiTheme="majorHAnsi" w:eastAsia="Calibri" w:hAnsiTheme="majorHAnsi"/>
          <w:b/>
          <w:snapToGrid/>
        </w:rPr>
      </w:pPr>
      <w:r w:rsidRPr="00670F68">
        <w:rPr>
          <w:rFonts w:asciiTheme="majorHAnsi" w:eastAsia="Calibri" w:hAnsiTheme="majorHAnsi"/>
          <w:b/>
          <w:snapToGrid/>
        </w:rPr>
        <w:t>Cost Proposal (</w:t>
      </w:r>
      <w:r w:rsidR="008F11F0">
        <w:rPr>
          <w:rFonts w:asciiTheme="majorHAnsi" w:eastAsia="Calibri" w:hAnsiTheme="majorHAnsi"/>
          <w:b/>
          <w:snapToGrid/>
        </w:rPr>
        <w:t>30 points</w:t>
      </w:r>
      <w:r w:rsidRPr="00670F68">
        <w:rPr>
          <w:rFonts w:asciiTheme="majorHAnsi" w:eastAsia="Calibri" w:hAnsiTheme="majorHAnsi"/>
          <w:b/>
          <w:snapToGrid/>
        </w:rPr>
        <w:t>)</w:t>
      </w:r>
    </w:p>
    <w:p w14:paraId="7B5B25BA" w14:textId="77777777" w:rsidR="00386B1D" w:rsidRDefault="00386B1D" w:rsidP="00386B1D">
      <w:pPr>
        <w:pStyle w:val="ListParagraph"/>
        <w:shd w:val="clear" w:color="auto" w:fill="FFFFFF"/>
        <w:autoSpaceDE w:val="0"/>
        <w:autoSpaceDN w:val="0"/>
        <w:adjustRightInd w:val="0"/>
        <w:rPr>
          <w:rFonts w:asciiTheme="majorHAnsi" w:eastAsia="Calibri" w:hAnsiTheme="majorHAnsi"/>
          <w:snapToGrid/>
        </w:rPr>
      </w:pPr>
    </w:p>
    <w:p w14:paraId="5940F88E" w14:textId="3E66731E" w:rsidR="00386B1D" w:rsidRPr="00386B1D" w:rsidRDefault="00386B1D" w:rsidP="00386B1D">
      <w:pPr>
        <w:pStyle w:val="ListParagraph"/>
        <w:shd w:val="clear" w:color="auto" w:fill="FFFFFF"/>
        <w:autoSpaceDE w:val="0"/>
        <w:autoSpaceDN w:val="0"/>
        <w:adjustRightInd w:val="0"/>
        <w:rPr>
          <w:rFonts w:asciiTheme="majorHAnsi" w:eastAsia="Calibri" w:hAnsiTheme="majorHAnsi"/>
          <w:snapToGrid/>
        </w:rPr>
      </w:pPr>
      <w:r w:rsidRPr="00386B1D">
        <w:rPr>
          <w:rFonts w:asciiTheme="majorHAnsi" w:eastAsia="Calibri" w:hAnsiTheme="majorHAnsi"/>
          <w:snapToGrid/>
        </w:rPr>
        <w:t xml:space="preserve">The proposal shall include a cost proposal for each service of the proposal. Proposer will be required to submit certified payroll records, as required. Cost proposal shall be included with the proposal and will be a part of the evaluation criteria. Reference sample cost estimate in Attachment 3 LAPM 10-H, Example #1. </w:t>
      </w:r>
    </w:p>
    <w:p w14:paraId="202D51CD" w14:textId="77777777" w:rsidR="00FD558F" w:rsidRPr="00670F68" w:rsidRDefault="00FD558F" w:rsidP="00FD558F">
      <w:pPr>
        <w:pStyle w:val="ListParagraph"/>
        <w:autoSpaceDE w:val="0"/>
        <w:autoSpaceDN w:val="0"/>
        <w:adjustRightInd w:val="0"/>
        <w:ind w:left="1440"/>
        <w:jc w:val="both"/>
        <w:rPr>
          <w:rFonts w:asciiTheme="majorHAnsi" w:eastAsia="Calibri" w:hAnsiTheme="majorHAnsi"/>
          <w:snapToGrid/>
        </w:rPr>
      </w:pPr>
    </w:p>
    <w:p w14:paraId="6FC03F31" w14:textId="77777777" w:rsidR="003E7FE3" w:rsidRDefault="003E7FE3" w:rsidP="003E7FE3">
      <w:pPr>
        <w:pStyle w:val="ListParagraph"/>
        <w:numPr>
          <w:ilvl w:val="1"/>
          <w:numId w:val="14"/>
        </w:numPr>
        <w:autoSpaceDE w:val="0"/>
        <w:autoSpaceDN w:val="0"/>
        <w:adjustRightInd w:val="0"/>
        <w:jc w:val="both"/>
        <w:rPr>
          <w:rFonts w:asciiTheme="majorHAnsi" w:eastAsia="Calibri" w:hAnsiTheme="majorHAnsi"/>
          <w:snapToGrid/>
        </w:rPr>
      </w:pPr>
      <w:r>
        <w:rPr>
          <w:rFonts w:asciiTheme="majorHAnsi" w:eastAsia="Calibri" w:hAnsiTheme="majorHAnsi"/>
          <w:snapToGrid/>
        </w:rPr>
        <w:lastRenderedPageBreak/>
        <w:t>I</w:t>
      </w:r>
      <w:r w:rsidR="00A1159A" w:rsidRPr="00A1159A">
        <w:rPr>
          <w:rFonts w:asciiTheme="majorHAnsi" w:eastAsia="Calibri" w:hAnsiTheme="majorHAnsi"/>
          <w:snapToGrid/>
        </w:rPr>
        <w:t xml:space="preserve">nclude total </w:t>
      </w:r>
      <w:r w:rsidR="00A1159A">
        <w:rPr>
          <w:rFonts w:asciiTheme="majorHAnsi" w:eastAsia="Calibri" w:hAnsiTheme="majorHAnsi"/>
          <w:snapToGrid/>
        </w:rPr>
        <w:t>costs</w:t>
      </w:r>
      <w:r w:rsidR="00A1159A" w:rsidRPr="00A1159A">
        <w:rPr>
          <w:rFonts w:asciiTheme="majorHAnsi" w:eastAsia="Calibri" w:hAnsiTheme="majorHAnsi"/>
          <w:snapToGrid/>
        </w:rPr>
        <w:t xml:space="preserve"> for all payments to the Consultant within this project.</w:t>
      </w:r>
    </w:p>
    <w:p w14:paraId="01AB0B7F" w14:textId="77777777" w:rsidR="003E7FE3" w:rsidRDefault="003E7FE3" w:rsidP="003E7FE3">
      <w:pPr>
        <w:pStyle w:val="ListParagraph"/>
        <w:numPr>
          <w:ilvl w:val="1"/>
          <w:numId w:val="14"/>
        </w:numPr>
        <w:autoSpaceDE w:val="0"/>
        <w:autoSpaceDN w:val="0"/>
        <w:adjustRightInd w:val="0"/>
        <w:jc w:val="both"/>
        <w:rPr>
          <w:rFonts w:asciiTheme="majorHAnsi" w:eastAsia="Calibri" w:hAnsiTheme="majorHAnsi"/>
          <w:snapToGrid/>
        </w:rPr>
      </w:pPr>
      <w:r w:rsidRPr="00670F68">
        <w:rPr>
          <w:rFonts w:asciiTheme="majorHAnsi" w:eastAsia="Calibri" w:hAnsiTheme="majorHAnsi"/>
          <w:snapToGrid/>
        </w:rPr>
        <w:t>Proposal clearly defines cost in spreadsheet format.</w:t>
      </w:r>
    </w:p>
    <w:p w14:paraId="7EF1DABA" w14:textId="1738B212" w:rsidR="00352B87" w:rsidRDefault="00A1159A" w:rsidP="003E7FE3">
      <w:pPr>
        <w:pStyle w:val="ListParagraph"/>
        <w:numPr>
          <w:ilvl w:val="1"/>
          <w:numId w:val="14"/>
        </w:numPr>
        <w:autoSpaceDE w:val="0"/>
        <w:autoSpaceDN w:val="0"/>
        <w:adjustRightInd w:val="0"/>
        <w:jc w:val="both"/>
        <w:rPr>
          <w:rFonts w:asciiTheme="majorHAnsi" w:eastAsia="Calibri" w:hAnsiTheme="majorHAnsi"/>
          <w:snapToGrid/>
        </w:rPr>
      </w:pPr>
      <w:r w:rsidRPr="003E7FE3">
        <w:rPr>
          <w:rFonts w:asciiTheme="majorHAnsi" w:eastAsia="Calibri" w:hAnsiTheme="majorHAnsi"/>
          <w:snapToGrid/>
        </w:rPr>
        <w:t xml:space="preserve">Estimated coast/budget for the project shall be submitted concurrently in a sealed envelope marked “Cost Proposal for </w:t>
      </w:r>
      <w:r w:rsidR="00D441CB" w:rsidRPr="00CD365C">
        <w:rPr>
          <w:rFonts w:asciiTheme="majorHAnsi" w:hAnsiTheme="majorHAnsi"/>
          <w:b/>
        </w:rPr>
        <w:t>SS4A Comprehensive Safety Action Plan</w:t>
      </w:r>
      <w:r w:rsidRPr="003E7FE3">
        <w:rPr>
          <w:rFonts w:asciiTheme="majorHAnsi" w:eastAsia="Calibri" w:hAnsiTheme="majorHAnsi"/>
          <w:snapToGrid/>
        </w:rPr>
        <w:t xml:space="preserve">.” </w:t>
      </w:r>
    </w:p>
    <w:p w14:paraId="4040BCB6" w14:textId="77777777" w:rsidR="00386B1D" w:rsidRPr="00670F68" w:rsidRDefault="00386B1D" w:rsidP="00386B1D">
      <w:pPr>
        <w:shd w:val="clear" w:color="auto" w:fill="FFFFFF"/>
        <w:autoSpaceDE w:val="0"/>
        <w:autoSpaceDN w:val="0"/>
        <w:adjustRightInd w:val="0"/>
        <w:rPr>
          <w:rFonts w:asciiTheme="majorHAnsi" w:eastAsia="Calibri" w:hAnsiTheme="majorHAnsi"/>
          <w:snapToGrid/>
        </w:rPr>
      </w:pPr>
    </w:p>
    <w:p w14:paraId="09776221" w14:textId="77777777" w:rsidR="00386B1D" w:rsidRPr="00670F68" w:rsidRDefault="00386B1D" w:rsidP="00386B1D">
      <w:pPr>
        <w:pStyle w:val="ListParagraph"/>
        <w:autoSpaceDE w:val="0"/>
        <w:autoSpaceDN w:val="0"/>
        <w:adjustRightInd w:val="0"/>
        <w:ind w:left="1440"/>
        <w:jc w:val="both"/>
        <w:rPr>
          <w:rFonts w:asciiTheme="majorHAnsi" w:eastAsia="Calibri" w:hAnsiTheme="majorHAnsi"/>
          <w:snapToGrid/>
        </w:rPr>
      </w:pPr>
    </w:p>
    <w:p w14:paraId="54831AB8" w14:textId="77777777" w:rsidR="00E34496" w:rsidRPr="00670F68" w:rsidRDefault="00E34496" w:rsidP="00E34496">
      <w:pPr>
        <w:pStyle w:val="ListParagraph"/>
        <w:autoSpaceDE w:val="0"/>
        <w:autoSpaceDN w:val="0"/>
        <w:adjustRightInd w:val="0"/>
        <w:ind w:left="1440"/>
        <w:jc w:val="both"/>
        <w:rPr>
          <w:rFonts w:asciiTheme="majorHAnsi" w:eastAsia="Calibri" w:hAnsiTheme="majorHAnsi"/>
          <w:snapToGrid/>
        </w:rPr>
      </w:pPr>
    </w:p>
    <w:p w14:paraId="15A4E8AD" w14:textId="27DEEB64" w:rsidR="00E90BE0" w:rsidRDefault="00B625E2" w:rsidP="00B625E2">
      <w:pPr>
        <w:tabs>
          <w:tab w:val="left" w:pos="1605"/>
        </w:tabs>
        <w:autoSpaceDE w:val="0"/>
        <w:autoSpaceDN w:val="0"/>
        <w:adjustRightInd w:val="0"/>
        <w:rPr>
          <w:rFonts w:asciiTheme="majorHAnsi" w:eastAsia="Calibri" w:hAnsiTheme="majorHAnsi"/>
          <w:snapToGrid/>
        </w:rPr>
      </w:pPr>
      <w:r>
        <w:rPr>
          <w:rFonts w:asciiTheme="majorHAnsi" w:eastAsia="Calibri" w:hAnsiTheme="majorHAnsi"/>
          <w:snapToGrid/>
        </w:rPr>
        <w:tab/>
      </w:r>
    </w:p>
    <w:p w14:paraId="09EE4677" w14:textId="77777777" w:rsidR="00E90BE0" w:rsidRDefault="00E90BE0" w:rsidP="00D87E4A">
      <w:pPr>
        <w:autoSpaceDE w:val="0"/>
        <w:autoSpaceDN w:val="0"/>
        <w:adjustRightInd w:val="0"/>
        <w:rPr>
          <w:rFonts w:asciiTheme="majorHAnsi" w:eastAsia="Calibri" w:hAnsiTheme="majorHAnsi"/>
          <w:snapToGrid/>
        </w:rPr>
      </w:pPr>
    </w:p>
    <w:p w14:paraId="6E51C27E" w14:textId="77777777" w:rsidR="00E90BE0" w:rsidRDefault="00E90BE0" w:rsidP="00D87E4A">
      <w:pPr>
        <w:autoSpaceDE w:val="0"/>
        <w:autoSpaceDN w:val="0"/>
        <w:adjustRightInd w:val="0"/>
        <w:rPr>
          <w:rFonts w:asciiTheme="majorHAnsi" w:eastAsia="Calibri" w:hAnsiTheme="majorHAnsi"/>
          <w:snapToGrid/>
        </w:rPr>
      </w:pPr>
    </w:p>
    <w:p w14:paraId="6542C97C" w14:textId="77777777" w:rsidR="00E90BE0" w:rsidRDefault="00E90BE0" w:rsidP="00D87E4A">
      <w:pPr>
        <w:autoSpaceDE w:val="0"/>
        <w:autoSpaceDN w:val="0"/>
        <w:adjustRightInd w:val="0"/>
        <w:rPr>
          <w:rFonts w:asciiTheme="majorHAnsi" w:eastAsia="Calibri" w:hAnsiTheme="majorHAnsi"/>
          <w:snapToGrid/>
        </w:rPr>
      </w:pPr>
    </w:p>
    <w:p w14:paraId="6A68D31A" w14:textId="77777777" w:rsidR="00E90BE0" w:rsidRDefault="00E90BE0" w:rsidP="00D87E4A">
      <w:pPr>
        <w:autoSpaceDE w:val="0"/>
        <w:autoSpaceDN w:val="0"/>
        <w:adjustRightInd w:val="0"/>
        <w:rPr>
          <w:rFonts w:asciiTheme="majorHAnsi" w:eastAsia="Calibri" w:hAnsiTheme="majorHAnsi"/>
          <w:snapToGrid/>
        </w:rPr>
      </w:pPr>
    </w:p>
    <w:p w14:paraId="4FCBA8EF" w14:textId="77777777" w:rsidR="00E90BE0" w:rsidRDefault="00E90BE0" w:rsidP="00D87E4A">
      <w:pPr>
        <w:autoSpaceDE w:val="0"/>
        <w:autoSpaceDN w:val="0"/>
        <w:adjustRightInd w:val="0"/>
        <w:rPr>
          <w:rFonts w:asciiTheme="majorHAnsi" w:eastAsia="Calibri" w:hAnsiTheme="majorHAnsi"/>
          <w:snapToGrid/>
        </w:rPr>
      </w:pPr>
    </w:p>
    <w:p w14:paraId="0DD6E2C1" w14:textId="77777777" w:rsidR="00E90BE0" w:rsidRDefault="00E90BE0" w:rsidP="00D87E4A">
      <w:pPr>
        <w:autoSpaceDE w:val="0"/>
        <w:autoSpaceDN w:val="0"/>
        <w:adjustRightInd w:val="0"/>
        <w:rPr>
          <w:rFonts w:asciiTheme="majorHAnsi" w:eastAsia="Calibri" w:hAnsiTheme="majorHAnsi"/>
          <w:snapToGrid/>
        </w:rPr>
      </w:pPr>
    </w:p>
    <w:p w14:paraId="47BB4409" w14:textId="77777777" w:rsidR="00E90BE0" w:rsidRDefault="00E90BE0" w:rsidP="00D87E4A">
      <w:pPr>
        <w:autoSpaceDE w:val="0"/>
        <w:autoSpaceDN w:val="0"/>
        <w:adjustRightInd w:val="0"/>
        <w:rPr>
          <w:rFonts w:asciiTheme="majorHAnsi" w:eastAsia="Calibri" w:hAnsiTheme="majorHAnsi"/>
          <w:snapToGrid/>
        </w:rPr>
      </w:pPr>
    </w:p>
    <w:p w14:paraId="45275B97" w14:textId="07C5BB9E" w:rsidR="00D87E4A" w:rsidRPr="00670F68" w:rsidRDefault="00D87E4A" w:rsidP="00D87E4A">
      <w:pPr>
        <w:autoSpaceDE w:val="0"/>
        <w:autoSpaceDN w:val="0"/>
        <w:adjustRightInd w:val="0"/>
        <w:rPr>
          <w:rFonts w:asciiTheme="majorHAnsi" w:eastAsia="Calibri" w:hAnsiTheme="majorHAnsi"/>
          <w:snapToGrid/>
        </w:rPr>
      </w:pPr>
      <w:r w:rsidRPr="00670F68">
        <w:rPr>
          <w:rFonts w:asciiTheme="majorHAnsi" w:eastAsia="Calibri" w:hAnsiTheme="majorHAnsi"/>
          <w:snapToGrid/>
        </w:rPr>
        <w:t>The Evaluation Criteria Summary and their respective weights are as follows:</w:t>
      </w:r>
    </w:p>
    <w:p w14:paraId="11F1959C" w14:textId="77777777" w:rsidR="00D87E4A" w:rsidRPr="00670F68" w:rsidRDefault="00D87E4A" w:rsidP="00D87E4A">
      <w:pPr>
        <w:autoSpaceDE w:val="0"/>
        <w:autoSpaceDN w:val="0"/>
        <w:adjustRightInd w:val="0"/>
        <w:rPr>
          <w:rFonts w:asciiTheme="majorHAnsi" w:eastAsia="Calibri" w:hAnsiTheme="majorHAnsi"/>
          <w:snapToGrid/>
        </w:rPr>
      </w:pPr>
    </w:p>
    <w:tbl>
      <w:tblPr>
        <w:tblStyle w:val="TableGrid"/>
        <w:tblW w:w="5000" w:type="pct"/>
        <w:tblLook w:val="01E0" w:firstRow="1" w:lastRow="1" w:firstColumn="1" w:lastColumn="1" w:noHBand="0" w:noVBand="0"/>
      </w:tblPr>
      <w:tblGrid>
        <w:gridCol w:w="1255"/>
        <w:gridCol w:w="3510"/>
        <w:gridCol w:w="4585"/>
      </w:tblGrid>
      <w:tr w:rsidR="00D87E4A" w:rsidRPr="00AB3DAC" w14:paraId="52121AC3" w14:textId="77777777" w:rsidTr="00670F68">
        <w:trPr>
          <w:trHeight w:val="605"/>
        </w:trPr>
        <w:tc>
          <w:tcPr>
            <w:tcW w:w="1255" w:type="dxa"/>
          </w:tcPr>
          <w:p w14:paraId="7C054EC5" w14:textId="77777777" w:rsidR="00D87E4A" w:rsidRPr="00670F68" w:rsidRDefault="00D87E4A" w:rsidP="009137E2">
            <w:pPr>
              <w:tabs>
                <w:tab w:val="left" w:pos="0"/>
              </w:tabs>
              <w:autoSpaceDE w:val="0"/>
              <w:autoSpaceDN w:val="0"/>
              <w:adjustRightInd w:val="0"/>
              <w:jc w:val="center"/>
              <w:rPr>
                <w:rFonts w:asciiTheme="majorHAnsi" w:hAnsiTheme="majorHAnsi"/>
                <w:b/>
              </w:rPr>
            </w:pPr>
            <w:r w:rsidRPr="00670F68">
              <w:rPr>
                <w:rFonts w:asciiTheme="majorHAnsi" w:hAnsiTheme="majorHAnsi"/>
                <w:b/>
              </w:rPr>
              <w:t>No.</w:t>
            </w:r>
          </w:p>
        </w:tc>
        <w:tc>
          <w:tcPr>
            <w:tcW w:w="3510" w:type="dxa"/>
          </w:tcPr>
          <w:p w14:paraId="72ABD83F" w14:textId="77777777" w:rsidR="00D87E4A" w:rsidRPr="00670F68" w:rsidRDefault="00D87E4A" w:rsidP="009137E2">
            <w:pPr>
              <w:tabs>
                <w:tab w:val="left" w:pos="0"/>
              </w:tabs>
              <w:autoSpaceDE w:val="0"/>
              <w:autoSpaceDN w:val="0"/>
              <w:adjustRightInd w:val="0"/>
              <w:jc w:val="both"/>
              <w:rPr>
                <w:rFonts w:asciiTheme="majorHAnsi" w:hAnsiTheme="majorHAnsi"/>
                <w:b/>
              </w:rPr>
            </w:pPr>
            <w:r w:rsidRPr="00670F68">
              <w:rPr>
                <w:rFonts w:asciiTheme="majorHAnsi" w:hAnsiTheme="majorHAnsi"/>
                <w:b/>
              </w:rPr>
              <w:t>Written Evaluation Criteria</w:t>
            </w:r>
          </w:p>
        </w:tc>
        <w:tc>
          <w:tcPr>
            <w:tcW w:w="4585" w:type="dxa"/>
          </w:tcPr>
          <w:p w14:paraId="4593CC51" w14:textId="77777777" w:rsidR="00D87E4A" w:rsidRPr="00670F68" w:rsidRDefault="00D87E4A" w:rsidP="009137E2">
            <w:pPr>
              <w:tabs>
                <w:tab w:val="left" w:pos="0"/>
              </w:tabs>
              <w:autoSpaceDE w:val="0"/>
              <w:autoSpaceDN w:val="0"/>
              <w:adjustRightInd w:val="0"/>
              <w:jc w:val="center"/>
              <w:rPr>
                <w:rFonts w:asciiTheme="majorHAnsi" w:hAnsiTheme="majorHAnsi"/>
                <w:b/>
              </w:rPr>
            </w:pPr>
            <w:r w:rsidRPr="00670F68">
              <w:rPr>
                <w:rFonts w:asciiTheme="majorHAnsi" w:hAnsiTheme="majorHAnsi"/>
                <w:b/>
              </w:rPr>
              <w:t>Weight</w:t>
            </w:r>
            <w:r>
              <w:rPr>
                <w:rFonts w:asciiTheme="majorHAnsi" w:hAnsiTheme="majorHAnsi"/>
                <w:b/>
              </w:rPr>
              <w:t xml:space="preserve"> /100</w:t>
            </w:r>
          </w:p>
        </w:tc>
      </w:tr>
      <w:tr w:rsidR="00D87E4A" w:rsidRPr="00AB3DAC" w14:paraId="18561E99" w14:textId="77777777" w:rsidTr="00670F68">
        <w:trPr>
          <w:trHeight w:val="301"/>
        </w:trPr>
        <w:tc>
          <w:tcPr>
            <w:tcW w:w="1255" w:type="dxa"/>
          </w:tcPr>
          <w:p w14:paraId="1B9994CA" w14:textId="77777777" w:rsidR="00D87E4A" w:rsidRPr="00670F68" w:rsidRDefault="00D87E4A" w:rsidP="009137E2">
            <w:pPr>
              <w:tabs>
                <w:tab w:val="left" w:pos="0"/>
              </w:tabs>
              <w:autoSpaceDE w:val="0"/>
              <w:autoSpaceDN w:val="0"/>
              <w:adjustRightInd w:val="0"/>
              <w:jc w:val="center"/>
              <w:rPr>
                <w:rFonts w:asciiTheme="majorHAnsi" w:hAnsiTheme="majorHAnsi"/>
              </w:rPr>
            </w:pPr>
            <w:r w:rsidRPr="00670F68">
              <w:rPr>
                <w:rFonts w:asciiTheme="majorHAnsi" w:hAnsiTheme="majorHAnsi"/>
              </w:rPr>
              <w:t>1</w:t>
            </w:r>
          </w:p>
        </w:tc>
        <w:tc>
          <w:tcPr>
            <w:tcW w:w="3510" w:type="dxa"/>
          </w:tcPr>
          <w:p w14:paraId="6DEDDD13" w14:textId="77777777" w:rsidR="00D87E4A" w:rsidRPr="00670F68" w:rsidRDefault="00D87E4A" w:rsidP="009137E2">
            <w:pPr>
              <w:tabs>
                <w:tab w:val="left" w:pos="0"/>
              </w:tabs>
              <w:autoSpaceDE w:val="0"/>
              <w:autoSpaceDN w:val="0"/>
              <w:adjustRightInd w:val="0"/>
              <w:jc w:val="both"/>
              <w:rPr>
                <w:rFonts w:asciiTheme="majorHAnsi" w:hAnsiTheme="majorHAnsi"/>
              </w:rPr>
            </w:pPr>
            <w:r w:rsidRPr="00670F68">
              <w:rPr>
                <w:rFonts w:asciiTheme="majorHAnsi" w:eastAsia="Calibri" w:hAnsiTheme="majorHAnsi"/>
                <w:snapToGrid/>
              </w:rPr>
              <w:t xml:space="preserve">Organization of Proposal </w:t>
            </w:r>
          </w:p>
        </w:tc>
        <w:tc>
          <w:tcPr>
            <w:tcW w:w="4585" w:type="dxa"/>
          </w:tcPr>
          <w:p w14:paraId="59471DFB" w14:textId="6165FDF7" w:rsidR="00D87E4A" w:rsidRPr="00670F68" w:rsidRDefault="00AD0CD4" w:rsidP="009137E2">
            <w:pPr>
              <w:tabs>
                <w:tab w:val="left" w:pos="0"/>
              </w:tabs>
              <w:autoSpaceDE w:val="0"/>
              <w:autoSpaceDN w:val="0"/>
              <w:adjustRightInd w:val="0"/>
              <w:jc w:val="center"/>
              <w:rPr>
                <w:rFonts w:asciiTheme="majorHAnsi" w:hAnsiTheme="majorHAnsi"/>
              </w:rPr>
            </w:pPr>
            <w:r>
              <w:rPr>
                <w:rFonts w:asciiTheme="majorHAnsi" w:hAnsiTheme="majorHAnsi"/>
              </w:rPr>
              <w:t>10</w:t>
            </w:r>
          </w:p>
        </w:tc>
      </w:tr>
      <w:tr w:rsidR="00D87E4A" w:rsidRPr="00AB3DAC" w14:paraId="3CA3FC26" w14:textId="77777777" w:rsidTr="00670F68">
        <w:trPr>
          <w:trHeight w:val="301"/>
        </w:trPr>
        <w:tc>
          <w:tcPr>
            <w:tcW w:w="1255" w:type="dxa"/>
          </w:tcPr>
          <w:p w14:paraId="3AE08316" w14:textId="77777777" w:rsidR="00D87E4A" w:rsidRPr="00670F68" w:rsidRDefault="00D87E4A" w:rsidP="009137E2">
            <w:pPr>
              <w:tabs>
                <w:tab w:val="left" w:pos="0"/>
              </w:tabs>
              <w:autoSpaceDE w:val="0"/>
              <w:autoSpaceDN w:val="0"/>
              <w:adjustRightInd w:val="0"/>
              <w:jc w:val="center"/>
              <w:rPr>
                <w:rFonts w:asciiTheme="majorHAnsi" w:hAnsiTheme="majorHAnsi"/>
              </w:rPr>
            </w:pPr>
            <w:r>
              <w:rPr>
                <w:rFonts w:asciiTheme="majorHAnsi" w:hAnsiTheme="majorHAnsi"/>
              </w:rPr>
              <w:t>2</w:t>
            </w:r>
          </w:p>
        </w:tc>
        <w:tc>
          <w:tcPr>
            <w:tcW w:w="3510" w:type="dxa"/>
          </w:tcPr>
          <w:p w14:paraId="5211C2F9" w14:textId="77777777" w:rsidR="00D87E4A" w:rsidRPr="00670F68" w:rsidRDefault="00D87E4A" w:rsidP="009137E2">
            <w:pPr>
              <w:tabs>
                <w:tab w:val="left" w:pos="0"/>
              </w:tabs>
              <w:autoSpaceDE w:val="0"/>
              <w:autoSpaceDN w:val="0"/>
              <w:adjustRightInd w:val="0"/>
              <w:jc w:val="both"/>
              <w:rPr>
                <w:rFonts w:asciiTheme="majorHAnsi" w:hAnsiTheme="majorHAnsi"/>
              </w:rPr>
            </w:pPr>
            <w:r w:rsidRPr="00670F68">
              <w:rPr>
                <w:rFonts w:asciiTheme="majorHAnsi" w:eastAsia="Calibri" w:hAnsiTheme="majorHAnsi"/>
                <w:snapToGrid/>
              </w:rPr>
              <w:t>Staff Qualifications &amp; Approach</w:t>
            </w:r>
          </w:p>
        </w:tc>
        <w:tc>
          <w:tcPr>
            <w:tcW w:w="4585" w:type="dxa"/>
          </w:tcPr>
          <w:p w14:paraId="0E71BE73" w14:textId="697774B1" w:rsidR="00D87E4A" w:rsidRPr="00670F68" w:rsidRDefault="00D87E4A" w:rsidP="009137E2">
            <w:pPr>
              <w:tabs>
                <w:tab w:val="left" w:pos="0"/>
              </w:tabs>
              <w:autoSpaceDE w:val="0"/>
              <w:autoSpaceDN w:val="0"/>
              <w:adjustRightInd w:val="0"/>
              <w:jc w:val="center"/>
              <w:rPr>
                <w:rFonts w:asciiTheme="majorHAnsi" w:hAnsiTheme="majorHAnsi"/>
              </w:rPr>
            </w:pPr>
            <w:r w:rsidRPr="00670F68">
              <w:rPr>
                <w:rFonts w:asciiTheme="majorHAnsi" w:hAnsiTheme="majorHAnsi"/>
              </w:rPr>
              <w:t>20</w:t>
            </w:r>
          </w:p>
        </w:tc>
      </w:tr>
      <w:tr w:rsidR="00D87E4A" w:rsidRPr="00AB3DAC" w14:paraId="5C4CF595" w14:textId="77777777" w:rsidTr="00670F68">
        <w:trPr>
          <w:trHeight w:val="301"/>
        </w:trPr>
        <w:tc>
          <w:tcPr>
            <w:tcW w:w="1255" w:type="dxa"/>
          </w:tcPr>
          <w:p w14:paraId="7A0D0462" w14:textId="77777777" w:rsidR="00D87E4A" w:rsidRPr="00670F68" w:rsidRDefault="00D87E4A" w:rsidP="009137E2">
            <w:pPr>
              <w:tabs>
                <w:tab w:val="left" w:pos="0"/>
              </w:tabs>
              <w:autoSpaceDE w:val="0"/>
              <w:autoSpaceDN w:val="0"/>
              <w:adjustRightInd w:val="0"/>
              <w:jc w:val="center"/>
              <w:rPr>
                <w:rFonts w:asciiTheme="majorHAnsi" w:hAnsiTheme="majorHAnsi"/>
              </w:rPr>
            </w:pPr>
            <w:r>
              <w:rPr>
                <w:rFonts w:asciiTheme="majorHAnsi" w:hAnsiTheme="majorHAnsi"/>
              </w:rPr>
              <w:t>3</w:t>
            </w:r>
          </w:p>
        </w:tc>
        <w:tc>
          <w:tcPr>
            <w:tcW w:w="3510" w:type="dxa"/>
          </w:tcPr>
          <w:p w14:paraId="606E27D9" w14:textId="77777777" w:rsidR="00D87E4A" w:rsidRPr="00670F68" w:rsidRDefault="00D87E4A" w:rsidP="009137E2">
            <w:pPr>
              <w:tabs>
                <w:tab w:val="left" w:pos="0"/>
              </w:tabs>
              <w:autoSpaceDE w:val="0"/>
              <w:autoSpaceDN w:val="0"/>
              <w:adjustRightInd w:val="0"/>
              <w:jc w:val="both"/>
              <w:rPr>
                <w:rFonts w:asciiTheme="majorHAnsi" w:hAnsiTheme="majorHAnsi"/>
              </w:rPr>
            </w:pPr>
            <w:r w:rsidRPr="00670F68">
              <w:rPr>
                <w:rFonts w:asciiTheme="majorHAnsi" w:eastAsia="Calibri" w:hAnsiTheme="majorHAnsi"/>
                <w:snapToGrid/>
              </w:rPr>
              <w:t>Project Scope</w:t>
            </w:r>
          </w:p>
        </w:tc>
        <w:tc>
          <w:tcPr>
            <w:tcW w:w="4585" w:type="dxa"/>
          </w:tcPr>
          <w:p w14:paraId="7CFBA099" w14:textId="77777777" w:rsidR="00D87E4A" w:rsidRPr="00670F68" w:rsidRDefault="00D87E4A" w:rsidP="009137E2">
            <w:pPr>
              <w:tabs>
                <w:tab w:val="left" w:pos="0"/>
              </w:tabs>
              <w:autoSpaceDE w:val="0"/>
              <w:autoSpaceDN w:val="0"/>
              <w:adjustRightInd w:val="0"/>
              <w:jc w:val="center"/>
              <w:rPr>
                <w:rFonts w:asciiTheme="majorHAnsi" w:hAnsiTheme="majorHAnsi"/>
              </w:rPr>
            </w:pPr>
            <w:r>
              <w:rPr>
                <w:rFonts w:asciiTheme="majorHAnsi" w:hAnsiTheme="majorHAnsi"/>
              </w:rPr>
              <w:t>2</w:t>
            </w:r>
            <w:r w:rsidRPr="00670F68">
              <w:rPr>
                <w:rFonts w:asciiTheme="majorHAnsi" w:hAnsiTheme="majorHAnsi"/>
              </w:rPr>
              <w:t>0</w:t>
            </w:r>
          </w:p>
        </w:tc>
      </w:tr>
      <w:tr w:rsidR="00D87E4A" w:rsidRPr="00AB3DAC" w14:paraId="1478B29D" w14:textId="77777777" w:rsidTr="00670F68">
        <w:trPr>
          <w:trHeight w:val="301"/>
        </w:trPr>
        <w:tc>
          <w:tcPr>
            <w:tcW w:w="1255" w:type="dxa"/>
          </w:tcPr>
          <w:p w14:paraId="0F763378" w14:textId="77777777" w:rsidR="00D87E4A" w:rsidRPr="00670F68" w:rsidRDefault="00D87E4A" w:rsidP="009137E2">
            <w:pPr>
              <w:tabs>
                <w:tab w:val="left" w:pos="0"/>
              </w:tabs>
              <w:autoSpaceDE w:val="0"/>
              <w:autoSpaceDN w:val="0"/>
              <w:adjustRightInd w:val="0"/>
              <w:jc w:val="center"/>
              <w:rPr>
                <w:rFonts w:asciiTheme="majorHAnsi" w:hAnsiTheme="majorHAnsi"/>
              </w:rPr>
            </w:pPr>
            <w:r>
              <w:rPr>
                <w:rFonts w:asciiTheme="majorHAnsi" w:hAnsiTheme="majorHAnsi"/>
              </w:rPr>
              <w:t>4</w:t>
            </w:r>
          </w:p>
        </w:tc>
        <w:tc>
          <w:tcPr>
            <w:tcW w:w="3510" w:type="dxa"/>
          </w:tcPr>
          <w:p w14:paraId="44A12A02" w14:textId="77777777" w:rsidR="00D87E4A" w:rsidRPr="00670F68" w:rsidRDefault="00D87E4A" w:rsidP="009137E2">
            <w:pPr>
              <w:tabs>
                <w:tab w:val="left" w:pos="0"/>
              </w:tabs>
              <w:autoSpaceDE w:val="0"/>
              <w:autoSpaceDN w:val="0"/>
              <w:adjustRightInd w:val="0"/>
              <w:jc w:val="both"/>
              <w:rPr>
                <w:rFonts w:asciiTheme="majorHAnsi" w:hAnsiTheme="majorHAnsi"/>
              </w:rPr>
            </w:pPr>
            <w:r w:rsidRPr="00670F68">
              <w:rPr>
                <w:rFonts w:asciiTheme="majorHAnsi" w:eastAsia="Calibri" w:hAnsiTheme="majorHAnsi"/>
                <w:snapToGrid/>
              </w:rPr>
              <w:t>Schedule of Work</w:t>
            </w:r>
          </w:p>
        </w:tc>
        <w:tc>
          <w:tcPr>
            <w:tcW w:w="4585" w:type="dxa"/>
          </w:tcPr>
          <w:p w14:paraId="75D55708" w14:textId="77777777" w:rsidR="00D87E4A" w:rsidRPr="00670F68" w:rsidRDefault="00D87E4A" w:rsidP="009137E2">
            <w:pPr>
              <w:tabs>
                <w:tab w:val="left" w:pos="0"/>
              </w:tabs>
              <w:autoSpaceDE w:val="0"/>
              <w:autoSpaceDN w:val="0"/>
              <w:adjustRightInd w:val="0"/>
              <w:jc w:val="center"/>
              <w:rPr>
                <w:rFonts w:asciiTheme="majorHAnsi" w:hAnsiTheme="majorHAnsi"/>
              </w:rPr>
            </w:pPr>
            <w:r>
              <w:rPr>
                <w:rFonts w:asciiTheme="majorHAnsi" w:hAnsiTheme="majorHAnsi"/>
              </w:rPr>
              <w:t>2</w:t>
            </w:r>
            <w:r w:rsidRPr="00670F68">
              <w:rPr>
                <w:rFonts w:asciiTheme="majorHAnsi" w:hAnsiTheme="majorHAnsi"/>
              </w:rPr>
              <w:t>0</w:t>
            </w:r>
          </w:p>
        </w:tc>
      </w:tr>
      <w:tr w:rsidR="00D87E4A" w:rsidRPr="00AB3DAC" w14:paraId="62D2D6E0" w14:textId="77777777" w:rsidTr="00670F68">
        <w:trPr>
          <w:trHeight w:val="301"/>
        </w:trPr>
        <w:tc>
          <w:tcPr>
            <w:tcW w:w="1255" w:type="dxa"/>
          </w:tcPr>
          <w:p w14:paraId="7568E94E" w14:textId="77777777" w:rsidR="00D87E4A" w:rsidRPr="00670F68" w:rsidRDefault="00D87E4A" w:rsidP="009137E2">
            <w:pPr>
              <w:tabs>
                <w:tab w:val="left" w:pos="0"/>
              </w:tabs>
              <w:autoSpaceDE w:val="0"/>
              <w:autoSpaceDN w:val="0"/>
              <w:adjustRightInd w:val="0"/>
              <w:jc w:val="center"/>
              <w:rPr>
                <w:rFonts w:asciiTheme="majorHAnsi" w:hAnsiTheme="majorHAnsi"/>
              </w:rPr>
            </w:pPr>
            <w:r>
              <w:rPr>
                <w:rFonts w:asciiTheme="majorHAnsi" w:hAnsiTheme="majorHAnsi"/>
              </w:rPr>
              <w:t>5</w:t>
            </w:r>
          </w:p>
        </w:tc>
        <w:tc>
          <w:tcPr>
            <w:tcW w:w="3510" w:type="dxa"/>
          </w:tcPr>
          <w:p w14:paraId="54CB3EFC" w14:textId="77777777" w:rsidR="00D87E4A" w:rsidRPr="00670F68" w:rsidRDefault="00D87E4A" w:rsidP="009137E2">
            <w:pPr>
              <w:tabs>
                <w:tab w:val="left" w:pos="0"/>
              </w:tabs>
              <w:autoSpaceDE w:val="0"/>
              <w:autoSpaceDN w:val="0"/>
              <w:adjustRightInd w:val="0"/>
              <w:jc w:val="both"/>
              <w:rPr>
                <w:rFonts w:asciiTheme="majorHAnsi" w:hAnsiTheme="majorHAnsi"/>
                <w:bCs/>
                <w:color w:val="000000"/>
              </w:rPr>
            </w:pPr>
            <w:r w:rsidRPr="00670F68">
              <w:rPr>
                <w:rFonts w:asciiTheme="majorHAnsi" w:eastAsia="Calibri" w:hAnsiTheme="majorHAnsi"/>
                <w:snapToGrid/>
              </w:rPr>
              <w:t>Conflict of Interest Statement</w:t>
            </w:r>
          </w:p>
        </w:tc>
        <w:tc>
          <w:tcPr>
            <w:tcW w:w="4585" w:type="dxa"/>
          </w:tcPr>
          <w:p w14:paraId="143C27E2" w14:textId="77777777" w:rsidR="00D87E4A" w:rsidRPr="00670F68" w:rsidRDefault="00D87E4A" w:rsidP="009137E2">
            <w:pPr>
              <w:tabs>
                <w:tab w:val="left" w:pos="0"/>
              </w:tabs>
              <w:autoSpaceDE w:val="0"/>
              <w:autoSpaceDN w:val="0"/>
              <w:adjustRightInd w:val="0"/>
              <w:jc w:val="center"/>
              <w:rPr>
                <w:rFonts w:asciiTheme="majorHAnsi" w:hAnsiTheme="majorHAnsi"/>
              </w:rPr>
            </w:pPr>
            <w:r w:rsidRPr="00670F68">
              <w:rPr>
                <w:rFonts w:asciiTheme="majorHAnsi" w:hAnsiTheme="majorHAnsi"/>
              </w:rPr>
              <w:t>Pass/Fail</w:t>
            </w:r>
          </w:p>
        </w:tc>
      </w:tr>
      <w:tr w:rsidR="00D87E4A" w:rsidRPr="00AB3DAC" w14:paraId="6B471A0B" w14:textId="77777777" w:rsidTr="00670F68">
        <w:trPr>
          <w:trHeight w:val="301"/>
        </w:trPr>
        <w:tc>
          <w:tcPr>
            <w:tcW w:w="1255" w:type="dxa"/>
          </w:tcPr>
          <w:p w14:paraId="4D8A3E0B" w14:textId="77777777" w:rsidR="00D87E4A" w:rsidRPr="00670F68" w:rsidRDefault="00D87E4A" w:rsidP="009137E2">
            <w:pPr>
              <w:tabs>
                <w:tab w:val="left" w:pos="0"/>
              </w:tabs>
              <w:autoSpaceDE w:val="0"/>
              <w:autoSpaceDN w:val="0"/>
              <w:adjustRightInd w:val="0"/>
              <w:jc w:val="center"/>
              <w:rPr>
                <w:rFonts w:asciiTheme="majorHAnsi" w:hAnsiTheme="majorHAnsi"/>
              </w:rPr>
            </w:pPr>
            <w:r>
              <w:rPr>
                <w:rFonts w:asciiTheme="majorHAnsi" w:hAnsiTheme="majorHAnsi"/>
              </w:rPr>
              <w:t>6</w:t>
            </w:r>
          </w:p>
        </w:tc>
        <w:tc>
          <w:tcPr>
            <w:tcW w:w="3510" w:type="dxa"/>
          </w:tcPr>
          <w:p w14:paraId="4B7B10B3" w14:textId="77777777" w:rsidR="00D87E4A" w:rsidRPr="00670F68" w:rsidRDefault="00D87E4A" w:rsidP="009137E2">
            <w:pPr>
              <w:tabs>
                <w:tab w:val="left" w:pos="0"/>
              </w:tabs>
              <w:autoSpaceDE w:val="0"/>
              <w:autoSpaceDN w:val="0"/>
              <w:adjustRightInd w:val="0"/>
              <w:jc w:val="both"/>
              <w:rPr>
                <w:rFonts w:asciiTheme="majorHAnsi" w:hAnsiTheme="majorHAnsi"/>
                <w:bCs/>
                <w:color w:val="000000"/>
              </w:rPr>
            </w:pPr>
            <w:r w:rsidRPr="00670F68">
              <w:rPr>
                <w:rFonts w:asciiTheme="majorHAnsi" w:eastAsia="Calibri" w:hAnsiTheme="majorHAnsi"/>
                <w:snapToGrid/>
              </w:rPr>
              <w:t>Cost Proposal</w:t>
            </w:r>
          </w:p>
        </w:tc>
        <w:tc>
          <w:tcPr>
            <w:tcW w:w="4585" w:type="dxa"/>
          </w:tcPr>
          <w:p w14:paraId="4B3C81A9" w14:textId="741B6A91" w:rsidR="00D87E4A" w:rsidRPr="00670F68" w:rsidRDefault="00AD0CD4" w:rsidP="009137E2">
            <w:pPr>
              <w:tabs>
                <w:tab w:val="left" w:pos="0"/>
              </w:tabs>
              <w:autoSpaceDE w:val="0"/>
              <w:autoSpaceDN w:val="0"/>
              <w:adjustRightInd w:val="0"/>
              <w:jc w:val="center"/>
              <w:rPr>
                <w:rFonts w:asciiTheme="majorHAnsi" w:hAnsiTheme="majorHAnsi"/>
              </w:rPr>
            </w:pPr>
            <w:r>
              <w:rPr>
                <w:rFonts w:asciiTheme="majorHAnsi" w:hAnsiTheme="majorHAnsi"/>
              </w:rPr>
              <w:t>30</w:t>
            </w:r>
          </w:p>
        </w:tc>
      </w:tr>
      <w:tr w:rsidR="00D87E4A" w:rsidRPr="00AB3DAC" w14:paraId="38DCFBA8" w14:textId="77777777" w:rsidTr="00670F68">
        <w:trPr>
          <w:trHeight w:val="301"/>
        </w:trPr>
        <w:tc>
          <w:tcPr>
            <w:tcW w:w="1255" w:type="dxa"/>
          </w:tcPr>
          <w:p w14:paraId="3A01F404" w14:textId="77777777" w:rsidR="00D87E4A" w:rsidRPr="00670F68" w:rsidRDefault="00D87E4A" w:rsidP="009137E2">
            <w:pPr>
              <w:tabs>
                <w:tab w:val="left" w:pos="0"/>
              </w:tabs>
              <w:autoSpaceDE w:val="0"/>
              <w:autoSpaceDN w:val="0"/>
              <w:adjustRightInd w:val="0"/>
              <w:jc w:val="right"/>
              <w:rPr>
                <w:rFonts w:asciiTheme="majorHAnsi" w:eastAsia="Calibri" w:hAnsiTheme="majorHAnsi"/>
                <w:snapToGrid/>
              </w:rPr>
            </w:pPr>
          </w:p>
        </w:tc>
        <w:tc>
          <w:tcPr>
            <w:tcW w:w="3510" w:type="dxa"/>
          </w:tcPr>
          <w:p w14:paraId="77FB0010" w14:textId="77777777" w:rsidR="00D87E4A" w:rsidRPr="00670F68" w:rsidRDefault="00D87E4A" w:rsidP="009137E2">
            <w:pPr>
              <w:tabs>
                <w:tab w:val="left" w:pos="0"/>
              </w:tabs>
              <w:autoSpaceDE w:val="0"/>
              <w:autoSpaceDN w:val="0"/>
              <w:adjustRightInd w:val="0"/>
              <w:jc w:val="right"/>
              <w:rPr>
                <w:rFonts w:asciiTheme="majorHAnsi" w:eastAsia="Calibri" w:hAnsiTheme="majorHAnsi"/>
                <w:snapToGrid/>
              </w:rPr>
            </w:pPr>
            <w:r w:rsidRPr="00670F68">
              <w:rPr>
                <w:rFonts w:asciiTheme="majorHAnsi" w:hAnsiTheme="majorHAnsi"/>
                <w:b/>
              </w:rPr>
              <w:t>Subtotal</w:t>
            </w:r>
            <w:r w:rsidRPr="00670F68">
              <w:rPr>
                <w:rFonts w:asciiTheme="majorHAnsi" w:eastAsia="Calibri" w:hAnsiTheme="majorHAnsi"/>
                <w:snapToGrid/>
              </w:rPr>
              <w:t>:</w:t>
            </w:r>
          </w:p>
        </w:tc>
        <w:tc>
          <w:tcPr>
            <w:tcW w:w="4585" w:type="dxa"/>
          </w:tcPr>
          <w:p w14:paraId="733E5202" w14:textId="604CB9DD" w:rsidR="00D87E4A" w:rsidRPr="00670F68" w:rsidRDefault="00D87E4A" w:rsidP="009137E2">
            <w:pPr>
              <w:tabs>
                <w:tab w:val="left" w:pos="0"/>
              </w:tabs>
              <w:autoSpaceDE w:val="0"/>
              <w:autoSpaceDN w:val="0"/>
              <w:adjustRightInd w:val="0"/>
              <w:jc w:val="center"/>
              <w:rPr>
                <w:rFonts w:asciiTheme="majorHAnsi" w:hAnsiTheme="majorHAnsi"/>
                <w:b/>
              </w:rPr>
            </w:pPr>
            <w:r w:rsidRPr="00670F68">
              <w:rPr>
                <w:rFonts w:asciiTheme="majorHAnsi" w:hAnsiTheme="majorHAnsi"/>
                <w:b/>
              </w:rPr>
              <w:t>100</w:t>
            </w:r>
          </w:p>
        </w:tc>
      </w:tr>
    </w:tbl>
    <w:p w14:paraId="10AF2949" w14:textId="77777777" w:rsidR="00D87E4A" w:rsidRPr="00670F68" w:rsidRDefault="00D87E4A" w:rsidP="00D87E4A">
      <w:pPr>
        <w:autoSpaceDE w:val="0"/>
        <w:autoSpaceDN w:val="0"/>
        <w:adjustRightInd w:val="0"/>
        <w:rPr>
          <w:rFonts w:asciiTheme="majorHAnsi" w:eastAsia="Calibri" w:hAnsiTheme="majorHAnsi"/>
          <w:snapToGrid/>
        </w:rPr>
      </w:pPr>
    </w:p>
    <w:bookmarkEnd w:id="2"/>
    <w:p w14:paraId="2ACF9369" w14:textId="2E2BAE5C" w:rsidR="009613F1" w:rsidRDefault="009613F1">
      <w:pPr>
        <w:rPr>
          <w:rFonts w:asciiTheme="majorHAnsi" w:eastAsia="Calibri" w:hAnsiTheme="majorHAnsi"/>
          <w:snapToGrid/>
        </w:rPr>
      </w:pPr>
      <w:r>
        <w:rPr>
          <w:rFonts w:asciiTheme="majorHAnsi" w:eastAsia="Calibri" w:hAnsiTheme="majorHAnsi"/>
          <w:snapToGrid/>
        </w:rPr>
        <w:br w:type="page"/>
      </w:r>
    </w:p>
    <w:p w14:paraId="5CCCD36A" w14:textId="77777777" w:rsidR="00D87E4A" w:rsidRPr="00670F68" w:rsidRDefault="00D87E4A" w:rsidP="00D87E4A">
      <w:pPr>
        <w:autoSpaceDE w:val="0"/>
        <w:autoSpaceDN w:val="0"/>
        <w:adjustRightInd w:val="0"/>
        <w:rPr>
          <w:rFonts w:asciiTheme="majorHAnsi" w:eastAsia="Calibri" w:hAnsiTheme="majorHAnsi"/>
          <w:snapToGrid/>
        </w:rPr>
      </w:pPr>
    </w:p>
    <w:p w14:paraId="2F63675E" w14:textId="4AF295E2" w:rsidR="0035751B" w:rsidRPr="00670F68" w:rsidRDefault="0035751B" w:rsidP="00505A6E">
      <w:pPr>
        <w:jc w:val="center"/>
        <w:rPr>
          <w:rFonts w:asciiTheme="majorHAnsi" w:hAnsiTheme="majorHAnsi"/>
          <w:b/>
        </w:rPr>
      </w:pPr>
      <w:r w:rsidRPr="00670F68">
        <w:rPr>
          <w:rFonts w:asciiTheme="majorHAnsi" w:hAnsiTheme="majorHAnsi"/>
          <w:b/>
        </w:rPr>
        <w:t xml:space="preserve">APPENDIX </w:t>
      </w:r>
      <w:r w:rsidR="00B625E2">
        <w:rPr>
          <w:rFonts w:asciiTheme="majorHAnsi" w:hAnsiTheme="majorHAnsi"/>
          <w:b/>
        </w:rPr>
        <w:t>B</w:t>
      </w:r>
      <w:r w:rsidRPr="00670F68">
        <w:rPr>
          <w:rFonts w:asciiTheme="majorHAnsi" w:hAnsiTheme="majorHAnsi"/>
          <w:b/>
        </w:rPr>
        <w:t xml:space="preserve"> –</w:t>
      </w:r>
      <w:r w:rsidR="00DE479A" w:rsidRPr="00670F68">
        <w:rPr>
          <w:rFonts w:asciiTheme="majorHAnsi" w:hAnsiTheme="majorHAnsi"/>
          <w:b/>
        </w:rPr>
        <w:t xml:space="preserve"> SAMPLE AGREEMENT</w:t>
      </w:r>
    </w:p>
    <w:p w14:paraId="13813CF2" w14:textId="77777777" w:rsidR="0035751B" w:rsidRPr="00670F68" w:rsidRDefault="0035751B" w:rsidP="0035751B">
      <w:pPr>
        <w:jc w:val="center"/>
        <w:rPr>
          <w:rFonts w:asciiTheme="majorHAnsi" w:hAnsiTheme="majorHAnsi"/>
          <w:b/>
        </w:rPr>
      </w:pPr>
    </w:p>
    <w:p w14:paraId="79735A42" w14:textId="77777777" w:rsidR="001D16E4" w:rsidRPr="00670F68" w:rsidRDefault="001D16E4" w:rsidP="001D16E4">
      <w:pPr>
        <w:jc w:val="center"/>
        <w:rPr>
          <w:rFonts w:asciiTheme="majorHAnsi" w:hAnsiTheme="majorHAnsi"/>
          <w:b/>
        </w:rPr>
      </w:pPr>
    </w:p>
    <w:p w14:paraId="595A894A" w14:textId="7F3E2E8B" w:rsidR="001D16E4" w:rsidRDefault="001D16E4" w:rsidP="001D16E4">
      <w:pPr>
        <w:pBdr>
          <w:bottom w:val="single" w:sz="12" w:space="1" w:color="auto"/>
        </w:pBdr>
        <w:jc w:val="center"/>
        <w:rPr>
          <w:rFonts w:asciiTheme="majorHAnsi" w:hAnsiTheme="majorHAnsi"/>
          <w:color w:val="000000"/>
          <w:sz w:val="20"/>
          <w:szCs w:val="20"/>
        </w:rPr>
      </w:pPr>
      <w:r>
        <w:rPr>
          <w:b/>
        </w:rPr>
        <w:t xml:space="preserve">AGREEMENT BETWEEN THE </w:t>
      </w:r>
      <w:r w:rsidR="00CD365C">
        <w:rPr>
          <w:rFonts w:asciiTheme="majorHAnsi" w:hAnsiTheme="majorHAnsi"/>
          <w:color w:val="000000"/>
          <w:sz w:val="20"/>
          <w:szCs w:val="20"/>
        </w:rPr>
        <w:t>Commission</w:t>
      </w:r>
    </w:p>
    <w:p w14:paraId="0151CAB5" w14:textId="77777777" w:rsidR="001D16E4" w:rsidRDefault="001D16E4" w:rsidP="001D16E4">
      <w:pPr>
        <w:pBdr>
          <w:bottom w:val="single" w:sz="12" w:space="1" w:color="auto"/>
        </w:pBdr>
        <w:jc w:val="center"/>
        <w:rPr>
          <w:b/>
        </w:rPr>
      </w:pPr>
    </w:p>
    <w:p w14:paraId="39DA27AB" w14:textId="350A1DEC" w:rsidR="001D16E4" w:rsidRDefault="001D16E4" w:rsidP="001D16E4">
      <w:pPr>
        <w:pBdr>
          <w:bottom w:val="single" w:sz="12" w:space="1" w:color="auto"/>
        </w:pBdr>
        <w:jc w:val="center"/>
      </w:pPr>
      <w:r w:rsidRPr="00783C22">
        <w:t>--------[CON</w:t>
      </w:r>
      <w:r w:rsidR="00783C22">
        <w:t>S</w:t>
      </w:r>
      <w:r w:rsidRPr="00783C22">
        <w:t>ULTANT]-------</w:t>
      </w:r>
    </w:p>
    <w:p w14:paraId="0130A185" w14:textId="77777777" w:rsidR="001D16E4" w:rsidRDefault="001D16E4" w:rsidP="001D16E4">
      <w:pPr>
        <w:pBdr>
          <w:bottom w:val="single" w:sz="12" w:space="1" w:color="auto"/>
        </w:pBdr>
        <w:jc w:val="center"/>
      </w:pPr>
    </w:p>
    <w:p w14:paraId="41B11474" w14:textId="77777777" w:rsidR="001D16E4" w:rsidRDefault="001D16E4" w:rsidP="001D16E4"/>
    <w:p w14:paraId="416A7544" w14:textId="77777777" w:rsidR="001D16E4" w:rsidRPr="00670F68" w:rsidRDefault="001D16E4" w:rsidP="001D16E4">
      <w:pPr>
        <w:spacing w:before="240" w:line="360" w:lineRule="auto"/>
        <w:ind w:firstLine="720"/>
        <w:jc w:val="both"/>
        <w:rPr>
          <w:rFonts w:asciiTheme="majorHAnsi" w:hAnsiTheme="majorHAnsi" w:cs="Arial"/>
          <w:snapToGrid/>
        </w:rPr>
      </w:pPr>
      <w:r w:rsidRPr="00670F68">
        <w:rPr>
          <w:rFonts w:asciiTheme="majorHAnsi" w:hAnsiTheme="majorHAnsi" w:cs="Arial"/>
          <w:snapToGrid/>
        </w:rPr>
        <w:t>1.</w:t>
      </w:r>
      <w:r w:rsidRPr="00670F68">
        <w:rPr>
          <w:rFonts w:asciiTheme="majorHAnsi" w:hAnsiTheme="majorHAnsi" w:cs="Arial"/>
          <w:snapToGrid/>
        </w:rPr>
        <w:tab/>
      </w:r>
      <w:r w:rsidRPr="0070043D">
        <w:rPr>
          <w:b/>
          <w:u w:val="single"/>
        </w:rPr>
        <w:t xml:space="preserve">RESPONSIBILITIES OF </w:t>
      </w:r>
      <w:r>
        <w:rPr>
          <w:b/>
          <w:u w:val="single"/>
        </w:rPr>
        <w:t>CONSULTANT</w:t>
      </w:r>
      <w:r w:rsidRPr="00670F68">
        <w:rPr>
          <w:rFonts w:asciiTheme="majorHAnsi" w:hAnsiTheme="majorHAnsi" w:cs="Arial"/>
          <w:snapToGrid/>
        </w:rPr>
        <w:t xml:space="preserve">  </w:t>
      </w:r>
    </w:p>
    <w:p w14:paraId="2C218FD1" w14:textId="182DE401" w:rsidR="001D16E4" w:rsidRPr="00670F68" w:rsidRDefault="001D16E4" w:rsidP="001D16E4">
      <w:pPr>
        <w:spacing w:after="200" w:line="360" w:lineRule="auto"/>
        <w:jc w:val="both"/>
        <w:rPr>
          <w:snapToGrid/>
        </w:rPr>
      </w:pPr>
      <w:r w:rsidRPr="00670F68">
        <w:rPr>
          <w:snapToGrid/>
        </w:rPr>
        <w:t xml:space="preserve">During the term of this agreement, </w:t>
      </w:r>
      <w:r w:rsidR="00FD4F83" w:rsidRPr="00FD4F83">
        <w:rPr>
          <w:rFonts w:asciiTheme="majorHAnsi" w:hAnsiTheme="majorHAnsi"/>
          <w:color w:val="000000"/>
          <w:sz w:val="20"/>
          <w:szCs w:val="20"/>
        </w:rPr>
        <w:t>found on Page 6, Scope of Work.</w:t>
      </w:r>
      <w:r w:rsidR="00FD4F83">
        <w:rPr>
          <w:rFonts w:asciiTheme="majorHAnsi" w:hAnsiTheme="majorHAnsi"/>
          <w:color w:val="000000"/>
          <w:sz w:val="20"/>
          <w:szCs w:val="20"/>
        </w:rPr>
        <w:t xml:space="preserve"> </w:t>
      </w:r>
      <w:r w:rsidRPr="00670F68">
        <w:rPr>
          <w:snapToGrid/>
        </w:rPr>
        <w:t xml:space="preserve"> </w:t>
      </w:r>
    </w:p>
    <w:p w14:paraId="1E96FDCC" w14:textId="1C0859EB" w:rsidR="001D16E4" w:rsidRDefault="001D16E4" w:rsidP="001D16E4">
      <w:pPr>
        <w:spacing w:before="240" w:line="360" w:lineRule="auto"/>
        <w:ind w:firstLine="720"/>
        <w:jc w:val="both"/>
        <w:rPr>
          <w:b/>
          <w:u w:val="single"/>
        </w:rPr>
      </w:pPr>
      <w:r>
        <w:t>2.</w:t>
      </w:r>
      <w:r>
        <w:tab/>
      </w:r>
      <w:r>
        <w:rPr>
          <w:b/>
          <w:u w:val="single"/>
        </w:rPr>
        <w:t xml:space="preserve">RESPONSIBILITIES OF THE </w:t>
      </w:r>
      <w:r w:rsidR="00CD365C">
        <w:rPr>
          <w:b/>
          <w:u w:val="single"/>
        </w:rPr>
        <w:t>Commission</w:t>
      </w:r>
    </w:p>
    <w:p w14:paraId="21934FC8" w14:textId="2BF8D4FB" w:rsidR="001D16E4" w:rsidRPr="00AE51E3" w:rsidRDefault="00CD365C" w:rsidP="001D16E4">
      <w:pPr>
        <w:spacing w:after="200" w:line="276" w:lineRule="auto"/>
        <w:jc w:val="both"/>
        <w:rPr>
          <w:snapToGrid/>
        </w:rPr>
      </w:pPr>
      <w:r>
        <w:rPr>
          <w:snapToGrid/>
        </w:rPr>
        <w:t>Commission</w:t>
      </w:r>
      <w:r w:rsidR="001D16E4" w:rsidRPr="00AE51E3">
        <w:rPr>
          <w:snapToGrid/>
        </w:rPr>
        <w:t xml:space="preserve"> shall compensate CONSULTANT for said services pursuant to Section 3 and 4 of this agreement. </w:t>
      </w:r>
    </w:p>
    <w:p w14:paraId="2B6868E0" w14:textId="77777777" w:rsidR="001D16E4" w:rsidRPr="002045DE" w:rsidRDefault="001D16E4" w:rsidP="001D16E4">
      <w:pPr>
        <w:spacing w:before="240" w:line="360" w:lineRule="auto"/>
        <w:ind w:firstLine="720"/>
        <w:jc w:val="both"/>
      </w:pPr>
      <w:r>
        <w:t>3.</w:t>
      </w:r>
      <w:r>
        <w:tab/>
      </w:r>
      <w:r>
        <w:rPr>
          <w:b/>
          <w:u w:val="single"/>
        </w:rPr>
        <w:t>COMPENSATION</w:t>
      </w:r>
      <w:r>
        <w:t xml:space="preserve"> </w:t>
      </w:r>
    </w:p>
    <w:p w14:paraId="5F8C1C36" w14:textId="79093393" w:rsidR="001D16E4" w:rsidRPr="00670F68" w:rsidRDefault="001D16E4" w:rsidP="001D16E4">
      <w:pPr>
        <w:spacing w:before="240" w:line="360" w:lineRule="auto"/>
        <w:jc w:val="both"/>
        <w:rPr>
          <w:snapToGrid/>
        </w:rPr>
      </w:pPr>
      <w:r>
        <w:rPr>
          <w:snapToGrid/>
        </w:rPr>
        <w:t>CONSULTANT</w:t>
      </w:r>
      <w:r w:rsidRPr="00670F68">
        <w:rPr>
          <w:snapToGrid/>
        </w:rPr>
        <w:t xml:space="preserve"> shall be paid in accordance with the rates set forth in the Fee Schedule, attached hereto as Exhibit </w:t>
      </w:r>
      <w:r>
        <w:rPr>
          <w:snapToGrid/>
        </w:rPr>
        <w:t xml:space="preserve">C for performing the Scope of Services </w:t>
      </w:r>
      <w:r w:rsidRPr="00670F68">
        <w:rPr>
          <w:snapToGrid/>
        </w:rPr>
        <w:t xml:space="preserve">described in this Agreement.  In addition, </w:t>
      </w:r>
      <w:r w:rsidR="00CD365C">
        <w:rPr>
          <w:rFonts w:asciiTheme="majorHAnsi" w:hAnsiTheme="majorHAnsi"/>
          <w:color w:val="000000"/>
          <w:sz w:val="20"/>
          <w:szCs w:val="20"/>
        </w:rPr>
        <w:t>Commission</w:t>
      </w:r>
      <w:r w:rsidRPr="00670F68">
        <w:rPr>
          <w:snapToGrid/>
        </w:rPr>
        <w:t xml:space="preserve"> shall reimburse </w:t>
      </w:r>
      <w:r>
        <w:rPr>
          <w:snapToGrid/>
        </w:rPr>
        <w:t>CONSULTANT</w:t>
      </w:r>
      <w:r w:rsidRPr="00670F68">
        <w:rPr>
          <w:snapToGrid/>
        </w:rPr>
        <w:t xml:space="preserve"> for the actual and reasonable expenses for radio system design, purchase and implementation, travel, postage, and reasonable expenses incurred by </w:t>
      </w:r>
      <w:r>
        <w:rPr>
          <w:snapToGrid/>
        </w:rPr>
        <w:t>CONSULTANT</w:t>
      </w:r>
      <w:r w:rsidRPr="00670F68">
        <w:rPr>
          <w:snapToGrid/>
        </w:rPr>
        <w:t xml:space="preserve"> in the performance of the work hereunder.  The rates set forth in the Fee Schedule are inclusive of all other expenses.  Reimbursement for actual travel expenses will not exceed the currently authorized rates and per diem for </w:t>
      </w:r>
      <w:r w:rsidR="00CD365C">
        <w:rPr>
          <w:rFonts w:asciiTheme="majorHAnsi" w:hAnsiTheme="majorHAnsi"/>
          <w:color w:val="000000"/>
          <w:sz w:val="20"/>
          <w:szCs w:val="20"/>
        </w:rPr>
        <w:t>Commission</w:t>
      </w:r>
      <w:r w:rsidRPr="00670F68">
        <w:rPr>
          <w:snapToGrid/>
        </w:rPr>
        <w:t xml:space="preserve"> employees.  The Maximum Compensation (including expense reimbursement) payable under this Agreement shall not exceed $--------. </w:t>
      </w:r>
      <w:r>
        <w:rPr>
          <w:snapToGrid/>
        </w:rPr>
        <w:t>CONSULTANT</w:t>
      </w:r>
      <w:r w:rsidRPr="00670F68">
        <w:rPr>
          <w:snapToGrid/>
        </w:rPr>
        <w:t xml:space="preserve"> shall not be entitled to payment or reimbursement for any tasks or services performed except as specified herein</w:t>
      </w:r>
      <w:r w:rsidRPr="004F7E18">
        <w:t xml:space="preserve">. </w:t>
      </w:r>
      <w:r>
        <w:rPr>
          <w:snapToGrid/>
        </w:rPr>
        <w:t>CONSULTANT</w:t>
      </w:r>
      <w:r w:rsidRPr="00670F68">
        <w:rPr>
          <w:snapToGrid/>
        </w:rPr>
        <w:t xml:space="preserve"> shall have no claim against </w:t>
      </w:r>
      <w:r w:rsidR="00CD365C">
        <w:rPr>
          <w:rFonts w:asciiTheme="majorHAnsi" w:hAnsiTheme="majorHAnsi"/>
          <w:color w:val="000000"/>
          <w:sz w:val="20"/>
          <w:szCs w:val="20"/>
        </w:rPr>
        <w:t>Commission</w:t>
      </w:r>
      <w:r w:rsidRPr="00670F68">
        <w:rPr>
          <w:snapToGrid/>
        </w:rPr>
        <w:t xml:space="preserve"> for payment of any compensation or reimbursement, of any kind whatsoever, for any service provided by </w:t>
      </w:r>
      <w:r>
        <w:rPr>
          <w:snapToGrid/>
        </w:rPr>
        <w:t>CONSULTANT</w:t>
      </w:r>
      <w:r w:rsidRPr="00670F68">
        <w:rPr>
          <w:snapToGrid/>
        </w:rPr>
        <w:t xml:space="preserve"> after the expiration or other termination of this Agreement.  </w:t>
      </w:r>
      <w:r>
        <w:rPr>
          <w:snapToGrid/>
        </w:rPr>
        <w:t>CONSULTANT</w:t>
      </w:r>
      <w:r w:rsidRPr="00670F68">
        <w:rPr>
          <w:snapToGrid/>
        </w:rPr>
        <w:t xml:space="preserve"> shall not be paid any amount in excess of the Maximum Compensation amount set forth above, and </w:t>
      </w:r>
      <w:r>
        <w:rPr>
          <w:snapToGrid/>
        </w:rPr>
        <w:t>CONSULTANT</w:t>
      </w:r>
      <w:r w:rsidRPr="00670F68">
        <w:rPr>
          <w:snapToGrid/>
        </w:rPr>
        <w:t xml:space="preserve"> agrees that </w:t>
      </w:r>
      <w:r w:rsidR="00CD365C">
        <w:rPr>
          <w:rFonts w:asciiTheme="majorHAnsi" w:hAnsiTheme="majorHAnsi"/>
          <w:color w:val="000000"/>
          <w:sz w:val="20"/>
          <w:szCs w:val="20"/>
        </w:rPr>
        <w:t>Commission</w:t>
      </w:r>
      <w:r w:rsidRPr="00670F68">
        <w:rPr>
          <w:snapToGrid/>
        </w:rPr>
        <w:t xml:space="preserve"> has no obligation, whatsoever, to compensate or reimburse </w:t>
      </w:r>
      <w:r>
        <w:rPr>
          <w:snapToGrid/>
        </w:rPr>
        <w:t>CONSULTANT</w:t>
      </w:r>
      <w:r w:rsidRPr="00670F68">
        <w:rPr>
          <w:snapToGrid/>
        </w:rPr>
        <w:t xml:space="preserve"> for any expenses, direct or indirect costs, expenditures, or charges of any nature by </w:t>
      </w:r>
      <w:r>
        <w:rPr>
          <w:snapToGrid/>
        </w:rPr>
        <w:t>CONSULTANT</w:t>
      </w:r>
      <w:r w:rsidRPr="00670F68">
        <w:rPr>
          <w:snapToGrid/>
        </w:rPr>
        <w:t xml:space="preserve"> that exceed the Maximum Compensation amount set forth above.  Should </w:t>
      </w:r>
      <w:r>
        <w:rPr>
          <w:snapToGrid/>
        </w:rPr>
        <w:t>CONSULTANT</w:t>
      </w:r>
      <w:r w:rsidRPr="00670F68">
        <w:rPr>
          <w:snapToGrid/>
        </w:rPr>
        <w:t xml:space="preserve"> receive any such payment it shall immediately notify </w:t>
      </w:r>
      <w:r w:rsidR="00CD365C">
        <w:rPr>
          <w:rFonts w:asciiTheme="majorHAnsi" w:hAnsiTheme="majorHAnsi"/>
          <w:color w:val="000000"/>
          <w:sz w:val="20"/>
          <w:szCs w:val="20"/>
        </w:rPr>
        <w:t>Commission</w:t>
      </w:r>
      <w:r w:rsidRPr="00670F68">
        <w:rPr>
          <w:snapToGrid/>
        </w:rPr>
        <w:t xml:space="preserve"> and shall </w:t>
      </w:r>
      <w:r w:rsidRPr="00670F68">
        <w:rPr>
          <w:snapToGrid/>
        </w:rPr>
        <w:lastRenderedPageBreak/>
        <w:t xml:space="preserve">immediately repay all such funds to </w:t>
      </w:r>
      <w:r w:rsidR="00CD365C">
        <w:rPr>
          <w:rFonts w:asciiTheme="majorHAnsi" w:hAnsiTheme="majorHAnsi"/>
          <w:color w:val="000000"/>
          <w:sz w:val="20"/>
          <w:szCs w:val="20"/>
        </w:rPr>
        <w:t>Commission</w:t>
      </w:r>
      <w:r w:rsidRPr="00670F68">
        <w:rPr>
          <w:snapToGrid/>
        </w:rPr>
        <w:t>. This provision shall survive the expiration or other termination of this Agreement.</w:t>
      </w:r>
    </w:p>
    <w:p w14:paraId="1D231E5C" w14:textId="77777777" w:rsidR="001D16E4" w:rsidRDefault="001D16E4" w:rsidP="001D16E4">
      <w:pPr>
        <w:spacing w:before="240" w:line="360" w:lineRule="auto"/>
        <w:ind w:left="720"/>
        <w:jc w:val="both"/>
      </w:pPr>
      <w:r>
        <w:t>4.</w:t>
      </w:r>
      <w:r>
        <w:tab/>
      </w:r>
      <w:r>
        <w:rPr>
          <w:b/>
          <w:u w:val="single"/>
        </w:rPr>
        <w:t>BILLING AND PAYMENT</w:t>
      </w:r>
      <w:r>
        <w:t xml:space="preserve"> </w:t>
      </w:r>
    </w:p>
    <w:p w14:paraId="6750619F" w14:textId="4F76C3B4" w:rsidR="001D16E4" w:rsidRPr="002045DE" w:rsidRDefault="001D16E4" w:rsidP="001D16E4">
      <w:pPr>
        <w:spacing w:before="240" w:line="360" w:lineRule="auto"/>
        <w:jc w:val="both"/>
      </w:pPr>
      <w:r w:rsidRPr="003B1651">
        <w:t xml:space="preserve">On or before the 15th of each month, </w:t>
      </w:r>
      <w:r>
        <w:t>CONSULTANT</w:t>
      </w:r>
      <w:r w:rsidRPr="003B1651">
        <w:t xml:space="preserve"> shall submit to </w:t>
      </w:r>
      <w:r w:rsidR="00CD365C">
        <w:rPr>
          <w:rFonts w:asciiTheme="majorHAnsi" w:hAnsiTheme="majorHAnsi"/>
          <w:color w:val="000000"/>
          <w:sz w:val="20"/>
          <w:szCs w:val="20"/>
        </w:rPr>
        <w:t>Commission</w:t>
      </w:r>
      <w:r w:rsidRPr="003B1651">
        <w:t xml:space="preserve"> an itemized invoice for all services rendered, as well as expense reimbursement requested, during the preceding calendar month.</w:t>
      </w:r>
      <w:r w:rsidRPr="0004034D">
        <w:rPr>
          <w:rFonts w:asciiTheme="majorHAnsi" w:hAnsiTheme="majorHAnsi"/>
          <w:color w:val="000000"/>
          <w:sz w:val="20"/>
          <w:szCs w:val="20"/>
        </w:rPr>
        <w:t xml:space="preserve"> </w:t>
      </w:r>
      <w:r w:rsidR="00CD365C">
        <w:rPr>
          <w:rFonts w:asciiTheme="majorHAnsi" w:hAnsiTheme="majorHAnsi"/>
          <w:color w:val="000000"/>
          <w:sz w:val="20"/>
          <w:szCs w:val="20"/>
        </w:rPr>
        <w:t>Commission</w:t>
      </w:r>
      <w:r>
        <w:rPr>
          <w:rFonts w:asciiTheme="majorHAnsi" w:hAnsiTheme="majorHAnsi"/>
          <w:color w:val="000000"/>
          <w:sz w:val="20"/>
          <w:szCs w:val="20"/>
        </w:rPr>
        <w:t xml:space="preserve"> </w:t>
      </w:r>
      <w:r w:rsidRPr="003B1651">
        <w:t xml:space="preserve">shall make payment of all undisputed amounts within 30 days of receipt of </w:t>
      </w:r>
      <w:r>
        <w:t>CONSULTANT</w:t>
      </w:r>
      <w:r w:rsidRPr="003B1651">
        <w:t xml:space="preserve">’s invoice. </w:t>
      </w:r>
      <w:r w:rsidR="00CD365C">
        <w:rPr>
          <w:rFonts w:asciiTheme="majorHAnsi" w:hAnsiTheme="majorHAnsi"/>
          <w:color w:val="000000"/>
          <w:sz w:val="20"/>
          <w:szCs w:val="20"/>
        </w:rPr>
        <w:t>Commission</w:t>
      </w:r>
      <w:r w:rsidRPr="003B1651">
        <w:t xml:space="preserve"> shall be obligated to pay only for services properly invoiced in accordance with this section.</w:t>
      </w:r>
      <w:r>
        <w:t xml:space="preserve"> </w:t>
      </w:r>
    </w:p>
    <w:p w14:paraId="11BE056E" w14:textId="77777777" w:rsidR="001D16E4" w:rsidRDefault="001D16E4" w:rsidP="001D16E4">
      <w:pPr>
        <w:spacing w:before="240" w:line="360" w:lineRule="auto"/>
        <w:ind w:firstLine="720"/>
        <w:jc w:val="both"/>
      </w:pPr>
      <w:r>
        <w:t>5.</w:t>
      </w:r>
      <w:r>
        <w:tab/>
      </w:r>
      <w:r>
        <w:rPr>
          <w:b/>
          <w:u w:val="single"/>
        </w:rPr>
        <w:t>TERM OF AGREEMENT</w:t>
      </w:r>
    </w:p>
    <w:p w14:paraId="2D0389CD" w14:textId="77777777" w:rsidR="00F92063" w:rsidRPr="00F92063" w:rsidRDefault="00F92063" w:rsidP="00F92063">
      <w:pPr>
        <w:spacing w:before="240" w:line="360" w:lineRule="auto"/>
        <w:ind w:firstLine="720"/>
        <w:jc w:val="both"/>
      </w:pPr>
      <w:r w:rsidRPr="00F92063">
        <w:t xml:space="preserve">This Agreement shall commence on the date of signing and shall terminate </w:t>
      </w:r>
      <w:r w:rsidRPr="00F92063">
        <w:rPr>
          <w:b/>
          <w:bCs/>
        </w:rPr>
        <w:t>eighteen (18) months thereafter</w:t>
      </w:r>
      <w:r w:rsidRPr="00F92063">
        <w:t>, unless terminated earlier in accordance with Section 6 below or extended by written amendment executed by both parties.</w:t>
      </w:r>
    </w:p>
    <w:p w14:paraId="7BCA4420" w14:textId="77777777" w:rsidR="00F92063" w:rsidRPr="00F92063" w:rsidRDefault="00F92063" w:rsidP="00F92063">
      <w:pPr>
        <w:spacing w:before="240" w:line="360" w:lineRule="auto"/>
        <w:ind w:firstLine="720"/>
        <w:jc w:val="both"/>
      </w:pPr>
      <w:r w:rsidRPr="00F92063">
        <w:t>The Commission may, at its sole discretion, extend the term of this Agreement for up to two (2) additional periods of six (6) months each by providing written notice to CONSULTANT not less than thirty (30) days prior to the then-current expiration date. Any such extension shall be at the same hourly rates set forth in the Cost Proposal, with no escalation.</w:t>
      </w:r>
    </w:p>
    <w:p w14:paraId="19A48AD8" w14:textId="1D6DCDC8" w:rsidR="00F92063" w:rsidRPr="00F92063" w:rsidRDefault="00F92063" w:rsidP="00F92063">
      <w:pPr>
        <w:spacing w:before="240" w:line="360" w:lineRule="auto"/>
        <w:ind w:firstLine="720"/>
        <w:jc w:val="both"/>
      </w:pPr>
      <w:r w:rsidRPr="00F92063">
        <w:t xml:space="preserve">The Term of Agreement, schedule, and Period of Performance are subject to change as may be necessary to align with the period of performance established in the SS4A Grant Agreement between FHWA and the Commission, to respond to regulatory direction, or to address unforeseen circumstances affecting project delivery. Any such change shall be made by written </w:t>
      </w:r>
      <w:r w:rsidRPr="00F92063">
        <w:t>amendments</w:t>
      </w:r>
      <w:r w:rsidRPr="00F92063">
        <w:t xml:space="preserve"> executed by both parties.</w:t>
      </w:r>
    </w:p>
    <w:p w14:paraId="3B8386A5" w14:textId="77777777" w:rsidR="001D16E4" w:rsidRDefault="001D16E4" w:rsidP="001D16E4">
      <w:pPr>
        <w:spacing w:before="240" w:line="360" w:lineRule="auto"/>
        <w:ind w:firstLine="720"/>
        <w:jc w:val="both"/>
      </w:pPr>
      <w:r>
        <w:t>6.</w:t>
      </w:r>
      <w:r>
        <w:tab/>
      </w:r>
      <w:r>
        <w:rPr>
          <w:b/>
          <w:u w:val="single"/>
        </w:rPr>
        <w:t>TERMINATION OF AGREEMENT</w:t>
      </w:r>
    </w:p>
    <w:p w14:paraId="3FD14933" w14:textId="255AE311" w:rsidR="001D16E4" w:rsidRDefault="001D16E4" w:rsidP="001D16E4">
      <w:pPr>
        <w:spacing w:before="240" w:line="360" w:lineRule="auto"/>
        <w:jc w:val="both"/>
      </w:pPr>
      <w:r>
        <w:t xml:space="preserve">If CONSULTANT fails to perform his/her duties to the satisfaction of the </w:t>
      </w:r>
      <w:r w:rsidR="00CD365C">
        <w:rPr>
          <w:rFonts w:asciiTheme="majorHAnsi" w:hAnsiTheme="majorHAnsi"/>
          <w:color w:val="000000"/>
          <w:sz w:val="20"/>
          <w:szCs w:val="20"/>
        </w:rPr>
        <w:t>Commission</w:t>
      </w:r>
      <w:r>
        <w:t xml:space="preserve">, or if CONSULTANT fails to fulfill in a timely and professional manner his/her obligations under this agreement, or if CONSULTANT violates any of the terms or provisions of this agreement, then the </w:t>
      </w:r>
      <w:r w:rsidR="00CD365C">
        <w:rPr>
          <w:rFonts w:asciiTheme="majorHAnsi" w:hAnsiTheme="majorHAnsi"/>
          <w:color w:val="000000"/>
          <w:sz w:val="20"/>
          <w:szCs w:val="20"/>
        </w:rPr>
        <w:t>Commission</w:t>
      </w:r>
      <w:r>
        <w:t xml:space="preserve"> shall have the right to terminate this agreement effective immediately upon the </w:t>
      </w:r>
      <w:r w:rsidR="00CD365C">
        <w:rPr>
          <w:rFonts w:asciiTheme="majorHAnsi" w:hAnsiTheme="majorHAnsi"/>
          <w:color w:val="000000"/>
          <w:sz w:val="20"/>
          <w:szCs w:val="20"/>
        </w:rPr>
        <w:t>Commission</w:t>
      </w:r>
      <w:r>
        <w:t xml:space="preserve"> giving written notice thereof to the CONSULTANT.  Either party may terminate this </w:t>
      </w:r>
      <w:r>
        <w:lastRenderedPageBreak/>
        <w:t>agreement on 30 days’ written notice.</w:t>
      </w:r>
      <w:r w:rsidRPr="0004034D">
        <w:rPr>
          <w:rFonts w:asciiTheme="majorHAnsi" w:hAnsiTheme="majorHAnsi"/>
          <w:color w:val="000000"/>
          <w:sz w:val="20"/>
          <w:szCs w:val="20"/>
        </w:rPr>
        <w:t xml:space="preserve"> </w:t>
      </w:r>
      <w:r w:rsidR="00CD365C">
        <w:rPr>
          <w:rFonts w:asciiTheme="majorHAnsi" w:hAnsiTheme="majorHAnsi"/>
          <w:color w:val="000000"/>
          <w:sz w:val="20"/>
          <w:szCs w:val="20"/>
        </w:rPr>
        <w:t>Commission</w:t>
      </w:r>
      <w:r>
        <w:rPr>
          <w:rFonts w:asciiTheme="majorHAnsi" w:hAnsiTheme="majorHAnsi"/>
          <w:color w:val="000000"/>
          <w:sz w:val="20"/>
          <w:szCs w:val="20"/>
        </w:rPr>
        <w:t xml:space="preserve"> </w:t>
      </w:r>
      <w:r>
        <w:t xml:space="preserve">shall pay CONSULTANT for all work satisfactorily completed as of the date of notice. </w:t>
      </w:r>
      <w:r w:rsidR="00CD365C">
        <w:rPr>
          <w:rFonts w:asciiTheme="majorHAnsi" w:hAnsiTheme="majorHAnsi"/>
          <w:color w:val="000000"/>
          <w:sz w:val="20"/>
          <w:szCs w:val="20"/>
        </w:rPr>
        <w:t>Commission</w:t>
      </w:r>
      <w:r>
        <w:t xml:space="preserve"> may terminate this agreement immediately upon oral notice should funding cease or be materially decreased or should the </w:t>
      </w:r>
      <w:r w:rsidR="00CD365C" w:rsidRPr="001016AC">
        <w:rPr>
          <w:rFonts w:asciiTheme="majorHAnsi" w:hAnsiTheme="majorHAnsi"/>
          <w:color w:val="000000"/>
        </w:rPr>
        <w:t>Commission</w:t>
      </w:r>
      <w:r w:rsidRPr="001016AC">
        <w:rPr>
          <w:rFonts w:asciiTheme="majorHAnsi" w:hAnsiTheme="majorHAnsi"/>
          <w:color w:val="000000"/>
        </w:rPr>
        <w:t xml:space="preserve"> </w:t>
      </w:r>
      <w:r>
        <w:t xml:space="preserve">Board of </w:t>
      </w:r>
      <w:r w:rsidR="00F92063" w:rsidRPr="00F92063">
        <w:rPr>
          <w:rFonts w:asciiTheme="majorHAnsi" w:hAnsiTheme="majorHAnsi"/>
          <w:color w:val="000000"/>
        </w:rPr>
        <w:t>Tehama County Transportation Commission</w:t>
      </w:r>
      <w:r w:rsidR="00F92063">
        <w:rPr>
          <w:rFonts w:asciiTheme="majorHAnsi" w:hAnsiTheme="majorHAnsi"/>
          <w:color w:val="000000"/>
        </w:rPr>
        <w:t xml:space="preserve"> </w:t>
      </w:r>
      <w:r>
        <w:t xml:space="preserve">fail to appropriate sufficient funds for this agreement in any fiscal year.  </w:t>
      </w:r>
    </w:p>
    <w:p w14:paraId="5AF1FA86" w14:textId="29441512" w:rsidR="001D16E4" w:rsidRDefault="001D16E4" w:rsidP="001D16E4">
      <w:pPr>
        <w:spacing w:before="240" w:line="360" w:lineRule="auto"/>
        <w:jc w:val="both"/>
      </w:pPr>
      <w:r w:rsidRPr="00F92063">
        <w:t xml:space="preserve">The </w:t>
      </w:r>
      <w:r w:rsidR="00CD365C" w:rsidRPr="00F92063">
        <w:rPr>
          <w:rFonts w:asciiTheme="majorHAnsi" w:hAnsiTheme="majorHAnsi"/>
          <w:color w:val="000000"/>
        </w:rPr>
        <w:t>Commission</w:t>
      </w:r>
      <w:r w:rsidRPr="00F92063">
        <w:t>’s</w:t>
      </w:r>
      <w:r w:rsidRPr="004770CD">
        <w:t xml:space="preserve"> right to terminate this agreement may be exercised b</w:t>
      </w:r>
      <w:r w:rsidRPr="00F92063">
        <w:t xml:space="preserve">y </w:t>
      </w:r>
      <w:r w:rsidR="00F92063" w:rsidRPr="00F92063">
        <w:rPr>
          <w:rFonts w:asciiTheme="majorHAnsi" w:hAnsiTheme="majorHAnsi"/>
          <w:color w:val="000000"/>
        </w:rPr>
        <w:t>Executive Director of the Tehama County Transportation Commission.</w:t>
      </w:r>
    </w:p>
    <w:p w14:paraId="1024CE15" w14:textId="77777777" w:rsidR="001D16E4" w:rsidRDefault="001D16E4" w:rsidP="001D16E4">
      <w:pPr>
        <w:spacing w:before="240" w:line="360" w:lineRule="auto"/>
        <w:ind w:firstLine="720"/>
        <w:jc w:val="both"/>
      </w:pPr>
      <w:r>
        <w:t>7.</w:t>
      </w:r>
      <w:r>
        <w:tab/>
      </w:r>
      <w:r>
        <w:rPr>
          <w:b/>
          <w:u w:val="single"/>
        </w:rPr>
        <w:t>ENTIRE AGREEMENT; MODIFICATION</w:t>
      </w:r>
    </w:p>
    <w:p w14:paraId="6F02C894" w14:textId="77777777" w:rsidR="001D16E4" w:rsidRDefault="001D16E4" w:rsidP="001D16E4">
      <w:pPr>
        <w:spacing w:before="240" w:line="360" w:lineRule="auto"/>
        <w:jc w:val="both"/>
      </w:pPr>
      <w:r>
        <w:t>This agreement for the services specified herein supersedes all previous agreements for these services and constitutes the entire understanding between the parties hereto. CONSULTANT shall be entitled to no other benefits other than those specified herein. No changes, amendments or alterations shall be effective unless in writing and signed by both parties. CONSULTANT specifically acknowledges that in entering into and executing this agreement, CONSULTANT relies solely upon the provisions contained in this agreement and no other oral or written representation.</w:t>
      </w:r>
    </w:p>
    <w:p w14:paraId="58D5C482" w14:textId="77777777" w:rsidR="001D16E4" w:rsidRDefault="001D16E4" w:rsidP="001D16E4">
      <w:pPr>
        <w:spacing w:before="240" w:line="360" w:lineRule="auto"/>
        <w:ind w:firstLine="720"/>
        <w:jc w:val="both"/>
        <w:rPr>
          <w:b/>
          <w:u w:val="single"/>
        </w:rPr>
      </w:pPr>
      <w:r>
        <w:t>8.</w:t>
      </w:r>
      <w:r>
        <w:tab/>
      </w:r>
      <w:r>
        <w:rPr>
          <w:b/>
          <w:u w:val="single"/>
        </w:rPr>
        <w:t>NONASSIGNMENT OF AGREEMENT</w:t>
      </w:r>
    </w:p>
    <w:p w14:paraId="1BE09B0D" w14:textId="60D9EDDD" w:rsidR="001D16E4" w:rsidRDefault="001D16E4" w:rsidP="001D16E4">
      <w:pPr>
        <w:spacing w:before="240" w:line="360" w:lineRule="auto"/>
        <w:jc w:val="both"/>
      </w:pPr>
      <w:r>
        <w:t xml:space="preserve">Inasmuch as this agreement is intended to secure the specialized services of CONSULTANT, CONSULTANT may not assign, transfer, delegate or sublet any interest herein without the prior written consent of the </w:t>
      </w:r>
      <w:r w:rsidR="00CD365C">
        <w:rPr>
          <w:rFonts w:asciiTheme="majorHAnsi" w:hAnsiTheme="majorHAnsi"/>
          <w:color w:val="000000"/>
          <w:sz w:val="20"/>
          <w:szCs w:val="20"/>
        </w:rPr>
        <w:t>Commission</w:t>
      </w:r>
      <w:r>
        <w:t>.</w:t>
      </w:r>
    </w:p>
    <w:p w14:paraId="12A903D0" w14:textId="77777777" w:rsidR="001D16E4" w:rsidRDefault="001D16E4" w:rsidP="001D16E4">
      <w:pPr>
        <w:spacing w:before="240" w:line="360" w:lineRule="auto"/>
        <w:ind w:firstLine="720"/>
        <w:jc w:val="both"/>
        <w:rPr>
          <w:b/>
          <w:u w:val="single"/>
        </w:rPr>
      </w:pPr>
      <w:r>
        <w:t>9.</w:t>
      </w:r>
      <w:r>
        <w:tab/>
      </w:r>
      <w:r>
        <w:rPr>
          <w:b/>
          <w:u w:val="single"/>
        </w:rPr>
        <w:t>EMPLOYMENT STATUS</w:t>
      </w:r>
    </w:p>
    <w:p w14:paraId="7903FDFA" w14:textId="52EFB20F" w:rsidR="001D16E4" w:rsidRDefault="001D16E4" w:rsidP="001D16E4">
      <w:pPr>
        <w:spacing w:before="240" w:line="360" w:lineRule="auto"/>
        <w:jc w:val="both"/>
      </w:pPr>
      <w:r>
        <w:t xml:space="preserve">CONSULTANT shall, during the entire term of this agreement, be construed to be an independent CONSULTANT and nothing in this agreement is intended nor shall be construed to create an employer-employee relationship, a joint venture relationship, or to allow </w:t>
      </w:r>
      <w:r w:rsidR="00CD365C">
        <w:rPr>
          <w:rFonts w:asciiTheme="majorHAnsi" w:hAnsiTheme="majorHAnsi"/>
          <w:color w:val="000000"/>
          <w:sz w:val="20"/>
          <w:szCs w:val="20"/>
        </w:rPr>
        <w:t>Commission</w:t>
      </w:r>
      <w:r>
        <w:t xml:space="preserve"> to exercise discretion or control over the professional manner in which CONSULTANT performs the services which are the subject matter of this agreement; provided always, however, that the services to be provided by CONSULTANT shall be provided in a manner consistent with the professional standards applicable to such services. The sole interest of the </w:t>
      </w:r>
      <w:r w:rsidR="00CD365C">
        <w:rPr>
          <w:rFonts w:asciiTheme="majorHAnsi" w:hAnsiTheme="majorHAnsi"/>
          <w:color w:val="000000"/>
          <w:sz w:val="20"/>
          <w:szCs w:val="20"/>
        </w:rPr>
        <w:t>Commission</w:t>
      </w:r>
      <w:r>
        <w:t xml:space="preserve"> is to ensure that the </w:t>
      </w:r>
      <w:r>
        <w:lastRenderedPageBreak/>
        <w:t xml:space="preserve">services shall be rendered and performed in a competent, efficient and satisfactory manner.  CONSULTANT shall be fully responsible for payment of all taxes due to the State of California or the Federal government, which would be withheld from compensation of CONSULTANT, if CONSULTANT were a </w:t>
      </w:r>
      <w:r w:rsidR="00CD365C">
        <w:rPr>
          <w:rFonts w:asciiTheme="majorHAnsi" w:hAnsiTheme="majorHAnsi"/>
          <w:color w:val="000000"/>
          <w:sz w:val="20"/>
          <w:szCs w:val="20"/>
        </w:rPr>
        <w:t>Commission</w:t>
      </w:r>
      <w:r>
        <w:t xml:space="preserve"> employee.  </w:t>
      </w:r>
      <w:r w:rsidR="00CD365C">
        <w:rPr>
          <w:rFonts w:asciiTheme="majorHAnsi" w:hAnsiTheme="majorHAnsi"/>
          <w:color w:val="000000"/>
          <w:sz w:val="20"/>
          <w:szCs w:val="20"/>
        </w:rPr>
        <w:t>Commission</w:t>
      </w:r>
      <w:r>
        <w:t xml:space="preserve"> shall not be liable for deductions for any amount for any purpose from CONSULTANT’s compensation. CONSULTANT shall not be eligible for coverage under </w:t>
      </w:r>
      <w:r w:rsidR="00CD365C">
        <w:rPr>
          <w:rFonts w:asciiTheme="majorHAnsi" w:hAnsiTheme="majorHAnsi"/>
          <w:color w:val="000000"/>
          <w:sz w:val="20"/>
          <w:szCs w:val="20"/>
        </w:rPr>
        <w:t>Commission</w:t>
      </w:r>
      <w:r>
        <w:t xml:space="preserve">’s </w:t>
      </w:r>
      <w:r w:rsidRPr="007C42E6">
        <w:t xml:space="preserve">Workers Compensation Insurance Plan nor shall </w:t>
      </w:r>
      <w:r>
        <w:t>CONSULTANT</w:t>
      </w:r>
      <w:r w:rsidRPr="007C42E6">
        <w:t xml:space="preserve"> be eligible for any other </w:t>
      </w:r>
      <w:r w:rsidR="00CD365C">
        <w:t>Commission</w:t>
      </w:r>
      <w:r w:rsidRPr="007C42E6">
        <w:t xml:space="preserve"> benefit.</w:t>
      </w:r>
    </w:p>
    <w:p w14:paraId="29336199" w14:textId="77777777" w:rsidR="001D16E4" w:rsidRPr="007C42E6" w:rsidRDefault="001D16E4" w:rsidP="001D16E4">
      <w:pPr>
        <w:spacing w:before="240" w:line="360" w:lineRule="auto"/>
        <w:ind w:firstLine="720"/>
        <w:jc w:val="both"/>
      </w:pPr>
      <w:r w:rsidRPr="007C42E6">
        <w:t>10.</w:t>
      </w:r>
      <w:r w:rsidRPr="007C42E6">
        <w:tab/>
      </w:r>
      <w:r w:rsidRPr="007C42E6">
        <w:rPr>
          <w:b/>
          <w:u w:val="single"/>
        </w:rPr>
        <w:t>INDEMNIFICATION</w:t>
      </w:r>
      <w:r>
        <w:rPr>
          <w:highlight w:val="yellow"/>
        </w:rPr>
        <w:t xml:space="preserve"> </w:t>
      </w:r>
    </w:p>
    <w:p w14:paraId="3333F523" w14:textId="599B1A34" w:rsidR="001D16E4" w:rsidRPr="00BA2C55" w:rsidRDefault="001D16E4" w:rsidP="001D16E4">
      <w:pPr>
        <w:spacing w:line="360" w:lineRule="auto"/>
        <w:jc w:val="both"/>
      </w:pPr>
      <w:r>
        <w:t>CONSULTANT</w:t>
      </w:r>
      <w:r w:rsidRPr="00BA2C55">
        <w:t xml:space="preserve"> shall defend, hold harmless, and indemnify Tehama </w:t>
      </w:r>
      <w:r w:rsidR="00CD365C">
        <w:t>Commission</w:t>
      </w:r>
      <w:r w:rsidRPr="00BA2C55">
        <w:t>, its elected officials, officers, employees, agents, and volunteers against all claims, suits, actions, costs, expenses (including but not limited to reasonable attorney’s fees of</w:t>
      </w:r>
      <w:r>
        <w:t xml:space="preserve"> </w:t>
      </w:r>
      <w:r w:rsidR="00CD365C">
        <w:rPr>
          <w:rFonts w:asciiTheme="majorHAnsi" w:hAnsiTheme="majorHAnsi"/>
          <w:color w:val="000000"/>
          <w:sz w:val="20"/>
          <w:szCs w:val="20"/>
        </w:rPr>
        <w:t>Commission</w:t>
      </w:r>
      <w:r w:rsidRPr="00BA2C55">
        <w:t xml:space="preserve">), damages, judgments, or decrees by reason of any person’s or persons’ injury, including death, or property (including property of </w:t>
      </w:r>
      <w:r w:rsidR="00CD365C">
        <w:rPr>
          <w:rFonts w:asciiTheme="majorHAnsi" w:hAnsiTheme="majorHAnsi"/>
          <w:color w:val="000000"/>
          <w:sz w:val="20"/>
          <w:szCs w:val="20"/>
        </w:rPr>
        <w:t>Commission</w:t>
      </w:r>
      <w:r w:rsidRPr="00BA2C55">
        <w:t xml:space="preserve">) being damaged, arising out of </w:t>
      </w:r>
      <w:r>
        <w:t>CONSULTANT</w:t>
      </w:r>
      <w:r w:rsidRPr="00BA2C55">
        <w:t>’s performance of work hereunder or its failure to comply with any of its obligations contained in this agreement</w:t>
      </w:r>
      <w:r>
        <w:t>, whether by negligence or otherwise.  CONSULTANT</w:t>
      </w:r>
      <w:r w:rsidRPr="00BA2C55">
        <w:t xml:space="preserve"> shall, at its own expense, defend any suit or action founded upon a claim of the foregoing.  </w:t>
      </w:r>
      <w:r>
        <w:t>CONSULTANT</w:t>
      </w:r>
      <w:r w:rsidRPr="00BA2C55">
        <w:t xml:space="preserve"> shall also defend and indemnify </w:t>
      </w:r>
      <w:r w:rsidR="00CD365C">
        <w:rPr>
          <w:rFonts w:asciiTheme="majorHAnsi" w:hAnsiTheme="majorHAnsi"/>
          <w:color w:val="000000"/>
          <w:sz w:val="20"/>
          <w:szCs w:val="20"/>
        </w:rPr>
        <w:t>Commission</w:t>
      </w:r>
      <w:r w:rsidRPr="00BA2C55">
        <w:t xml:space="preserve"> against any adverse determination made by the Internal Revenue Service or the State Franchise Tax Board and/or any other taxing or regulatory agency against the </w:t>
      </w:r>
      <w:r w:rsidR="00CD365C">
        <w:rPr>
          <w:rFonts w:asciiTheme="majorHAnsi" w:hAnsiTheme="majorHAnsi"/>
          <w:color w:val="000000"/>
          <w:sz w:val="20"/>
          <w:szCs w:val="20"/>
        </w:rPr>
        <w:t>Commission</w:t>
      </w:r>
      <w:r>
        <w:rPr>
          <w:rFonts w:asciiTheme="majorHAnsi" w:hAnsiTheme="majorHAnsi"/>
          <w:color w:val="000000"/>
          <w:sz w:val="20"/>
          <w:szCs w:val="20"/>
        </w:rPr>
        <w:t xml:space="preserve"> </w:t>
      </w:r>
      <w:r w:rsidRPr="00BA2C55">
        <w:t xml:space="preserve">with respect to </w:t>
      </w:r>
      <w:r>
        <w:t>CONSULTANT</w:t>
      </w:r>
      <w:r w:rsidRPr="00BA2C55">
        <w:t xml:space="preserve">’s “independent </w:t>
      </w:r>
      <w:r>
        <w:t>CONSULTANT</w:t>
      </w:r>
      <w:r w:rsidRPr="00BA2C55">
        <w:t>” status that would establish a liability for failure to make social security or income tax withholding payments, or any other legally mandated payment</w:t>
      </w:r>
      <w:r>
        <w:t>.</w:t>
      </w:r>
    </w:p>
    <w:p w14:paraId="6B500F49" w14:textId="77777777" w:rsidR="001D16E4" w:rsidRPr="007C42E6" w:rsidRDefault="001D16E4" w:rsidP="001D16E4">
      <w:pPr>
        <w:spacing w:before="240" w:line="360" w:lineRule="auto"/>
        <w:ind w:firstLine="720"/>
        <w:jc w:val="both"/>
      </w:pPr>
      <w:r>
        <w:t>11.</w:t>
      </w:r>
      <w:r>
        <w:tab/>
      </w:r>
      <w:r>
        <w:rPr>
          <w:b/>
          <w:u w:val="single"/>
        </w:rPr>
        <w:t>INSURANCE</w:t>
      </w:r>
      <w:r>
        <w:rPr>
          <w:highlight w:val="yellow"/>
        </w:rPr>
        <w:t xml:space="preserve"> </w:t>
      </w:r>
    </w:p>
    <w:p w14:paraId="79675FF9" w14:textId="77777777" w:rsidR="001D16E4" w:rsidRDefault="001D16E4" w:rsidP="001D16E4">
      <w:pPr>
        <w:spacing w:before="240" w:line="360" w:lineRule="auto"/>
        <w:jc w:val="both"/>
      </w:pPr>
      <w:r>
        <w:t xml:space="preserve">CONSULTANT shall procure and maintain insurance pursuant to </w:t>
      </w:r>
      <w:r w:rsidRPr="004A6C2B">
        <w:rPr>
          <w:u w:val="single"/>
        </w:rPr>
        <w:t>Exhibit A</w:t>
      </w:r>
      <w:r>
        <w:t xml:space="preserve">, “Insurance Requirements For CONSULTANT,” attached hereto and incorporated by reference. </w:t>
      </w:r>
    </w:p>
    <w:p w14:paraId="0DD9C86C" w14:textId="77777777" w:rsidR="001D16E4" w:rsidRDefault="001D16E4" w:rsidP="001D16E4">
      <w:pPr>
        <w:spacing w:before="240" w:line="360" w:lineRule="auto"/>
        <w:ind w:firstLine="720"/>
        <w:jc w:val="both"/>
        <w:rPr>
          <w:b/>
          <w:u w:val="single"/>
        </w:rPr>
      </w:pPr>
      <w:r>
        <w:t>12.</w:t>
      </w:r>
      <w:r>
        <w:rPr>
          <w:b/>
        </w:rPr>
        <w:t xml:space="preserve"> </w:t>
      </w:r>
      <w:r>
        <w:rPr>
          <w:b/>
        </w:rPr>
        <w:tab/>
      </w:r>
      <w:r>
        <w:rPr>
          <w:b/>
          <w:u w:val="single"/>
        </w:rPr>
        <w:t>PREVAILING WAGE</w:t>
      </w:r>
    </w:p>
    <w:p w14:paraId="76EA9F8A" w14:textId="0B0F3455" w:rsidR="001D16E4" w:rsidRDefault="001D16E4" w:rsidP="001D16E4">
      <w:pPr>
        <w:pStyle w:val="BodyTextIndent"/>
        <w:spacing w:before="240" w:line="360" w:lineRule="auto"/>
        <w:ind w:left="0"/>
        <w:jc w:val="both"/>
      </w:pPr>
      <w:r>
        <w:t xml:space="preserve">CONSULTANT certifies that it is aware of the requirements of California Labor Code Sections 1720 et seq. and 1770 et seq., as well as California Code of Regulations, Title 8, Section 16000 et seq. (“Prevailing Wage Laws”), which require the payment of prevailing wage rates and the </w:t>
      </w:r>
      <w:r>
        <w:lastRenderedPageBreak/>
        <w:t xml:space="preserve">performance of other requirements on certain “public works” and “maintenance” projects.  If the Services hereunder are being performed as part of an applicable “public works” or “maintenance” project, as defined by the Prevailing Wage Laws, and if the total compensation is $1,000 or more, CONSULTANT agrees to fully comply with and to require its subconsultants to fully comply with such Prevailing Wage Laws, to the extent that such laws apply.  If applicable, </w:t>
      </w:r>
      <w:r w:rsidR="00CD365C">
        <w:rPr>
          <w:rFonts w:asciiTheme="majorHAnsi" w:hAnsiTheme="majorHAnsi"/>
          <w:color w:val="000000"/>
          <w:sz w:val="20"/>
          <w:szCs w:val="20"/>
        </w:rPr>
        <w:t>Commission</w:t>
      </w:r>
      <w:r>
        <w:t xml:space="preserve"> will maintain the general prevailing rate of per diem wages and other information set forth in Labor Code section 1773 at its principal office and will make this information available to any interested party upon request.  CONSULTANT shall defend, indemnify and hold the </w:t>
      </w:r>
      <w:r w:rsidR="00CD365C">
        <w:t>Commission</w:t>
      </w:r>
      <w:r>
        <w:t xml:space="preserve">, its elected officials, officers, employees and agents free and harmless from any claims, liabilities, costs, penalties, or interest arising out of any failure or alleged failure of the CONSULTANT or its subconsultants to comply with the Prevailing Wage Laws.  Without limiting the generality of the foregoing, CONSULTANT specifically acknowledges that </w:t>
      </w:r>
      <w:r w:rsidR="00CD365C">
        <w:t>Commission</w:t>
      </w:r>
      <w:r>
        <w:t xml:space="preserve"> has not affirmatively represented to CONSULTANT in writing, in the call for bids, or otherwise, that the work to be covered by the bid or contract was not a “public work.”  To the fullest extent permitted by law, CONSULTANT hereby specifically waives and agrees not to assert, in any manner, any past, present, or future claim for indemnification under Labor Code section 1781.</w:t>
      </w:r>
    </w:p>
    <w:p w14:paraId="21F755D7" w14:textId="77777777" w:rsidR="001D16E4" w:rsidRDefault="001D16E4" w:rsidP="001D16E4">
      <w:pPr>
        <w:tabs>
          <w:tab w:val="num" w:pos="720"/>
        </w:tabs>
        <w:spacing w:before="100" w:beforeAutospacing="1" w:after="100" w:afterAutospacing="1" w:line="360" w:lineRule="auto"/>
        <w:jc w:val="both"/>
      </w:pPr>
      <w:r>
        <w:t>CONSULTANT acknowledges the requirements of Labor Code sections 1725.5 and 1771.1 which provide that no CONSULTANT or subconsultant may be listed on a bid proposal for a public works project (submitted on or after March 1, 2015) unless registered with the Department of Industrial Relations pursuant to Labor Code section 1725.5 (with limited exceptions from this requirement for bid purposes only under Labor Codes section 1771.1(a)).</w:t>
      </w:r>
    </w:p>
    <w:p w14:paraId="28A4D161" w14:textId="77777777" w:rsidR="001D16E4" w:rsidRDefault="001D16E4" w:rsidP="001D16E4">
      <w:pPr>
        <w:tabs>
          <w:tab w:val="num" w:pos="720"/>
        </w:tabs>
        <w:spacing w:before="100" w:beforeAutospacing="1" w:after="100" w:afterAutospacing="1" w:line="360" w:lineRule="auto"/>
        <w:jc w:val="both"/>
      </w:pPr>
      <w:r>
        <w:t>CONSULTANT acknowledges that no CONSULTANT or subconsultant may be awarded a contract for public works on a public works project (awarded on or after April 1, 2015) unless registered with the Department of Industrial Relations pursuant to Labor Code section 1725.5</w:t>
      </w:r>
    </w:p>
    <w:p w14:paraId="56013986" w14:textId="77777777" w:rsidR="001D16E4" w:rsidRDefault="001D16E4" w:rsidP="001D16E4">
      <w:pPr>
        <w:tabs>
          <w:tab w:val="num" w:pos="720"/>
        </w:tabs>
        <w:spacing w:before="100" w:beforeAutospacing="1" w:after="100" w:afterAutospacing="1" w:line="360" w:lineRule="auto"/>
        <w:jc w:val="both"/>
      </w:pPr>
      <w:r>
        <w:t>If the services are being performed as part of the applicable “public works” or “maintenance” project, as defined by the Prevailing Wage Laws, CONSULTANT acknowledges that this project is subject to compliance monitoring and enforcement by the Department of Industrial Relations.</w:t>
      </w:r>
    </w:p>
    <w:p w14:paraId="0808A7DE" w14:textId="77777777" w:rsidR="001D16E4" w:rsidRDefault="001D16E4" w:rsidP="001D16E4">
      <w:pPr>
        <w:spacing w:before="240" w:line="360" w:lineRule="auto"/>
        <w:ind w:firstLine="720"/>
        <w:jc w:val="both"/>
        <w:rPr>
          <w:b/>
        </w:rPr>
      </w:pPr>
      <w:r>
        <w:t>13.</w:t>
      </w:r>
      <w:r>
        <w:tab/>
      </w:r>
      <w:r>
        <w:rPr>
          <w:b/>
          <w:u w:val="single"/>
        </w:rPr>
        <w:t>NON-DISCRIMINATION</w:t>
      </w:r>
    </w:p>
    <w:p w14:paraId="4F1CAF7D" w14:textId="77777777" w:rsidR="001D16E4" w:rsidRDefault="001D16E4" w:rsidP="001D16E4">
      <w:pPr>
        <w:spacing w:before="240" w:line="360" w:lineRule="auto"/>
        <w:jc w:val="both"/>
      </w:pPr>
      <w:r>
        <w:lastRenderedPageBreak/>
        <w:t>CONSULTANT shall not employ discriminatory practices in the treatment of persons in relation to the circumstances provided for herein, including assignment of accommodations, employment of personnel, or in any other respect on the basis of race, religious creed, color, national origin, ancestry, physical disability, mental disability, medical condition, marital status, sex, age, or sexual orientation.</w:t>
      </w:r>
    </w:p>
    <w:p w14:paraId="1A851EF6" w14:textId="77777777" w:rsidR="001D16E4" w:rsidRDefault="001D16E4" w:rsidP="001D16E4">
      <w:pPr>
        <w:spacing w:before="240" w:line="360" w:lineRule="auto"/>
        <w:ind w:firstLine="720"/>
        <w:jc w:val="both"/>
      </w:pPr>
      <w:r>
        <w:t>14.</w:t>
      </w:r>
      <w:r>
        <w:tab/>
      </w:r>
      <w:r>
        <w:rPr>
          <w:b/>
          <w:u w:val="single"/>
        </w:rPr>
        <w:t>GREEN PROCUREMENT POLICY</w:t>
      </w:r>
    </w:p>
    <w:p w14:paraId="000180F6" w14:textId="77777777" w:rsidR="001D16E4" w:rsidRDefault="001D16E4" w:rsidP="001D16E4">
      <w:pPr>
        <w:pStyle w:val="BodyTextIndent"/>
        <w:spacing w:before="240" w:line="360" w:lineRule="auto"/>
        <w:ind w:left="0"/>
      </w:pPr>
      <w:r>
        <w:t xml:space="preserve">Through Tehama County Resolution No. </w:t>
      </w:r>
      <w:r w:rsidRPr="00152760">
        <w:t>2021-140</w:t>
      </w:r>
      <w:r>
        <w:t xml:space="preserve">, the County adopted the </w:t>
      </w:r>
      <w:r w:rsidRPr="00152760">
        <w:t xml:space="preserve">Recovered Organic Waste Product Procurement Policy </w:t>
      </w:r>
      <w:r>
        <w:t xml:space="preserve">(available upon request) </w:t>
      </w:r>
      <w:r w:rsidRPr="00152760">
        <w:t>to (1) protect and conserve natural resources, water and energy</w:t>
      </w:r>
      <w:r>
        <w:t>;</w:t>
      </w:r>
      <w:r w:rsidRPr="00152760">
        <w:t xml:space="preserve"> (2) minimize the jurisdiction’s contribution to pol</w:t>
      </w:r>
      <w:r>
        <w:t>lution and solid waste disposal;</w:t>
      </w:r>
      <w:r w:rsidRPr="00152760">
        <w:t xml:space="preserve"> (3) comply with state requirements as contained in 14 CCR Division 7, Chapter 12, Article 12 (SB 1383)</w:t>
      </w:r>
      <w:r>
        <w:t>; (4) support recycling and waste reduction; and (5) promote the purchase of products made with recycled materials, in compliance with the California Integrated Waste Management Act of 1989 (AB 939) and SB1382 when product fitness and quality are equal and they are available at the same or lesser cost of non-recycled products.  Contractor shall adhere to this policy as required therein and is otherwise encouraged to conform to this policy.</w:t>
      </w:r>
    </w:p>
    <w:p w14:paraId="54BD1CAE" w14:textId="77777777" w:rsidR="001D16E4" w:rsidRDefault="001D16E4" w:rsidP="001D16E4">
      <w:pPr>
        <w:pStyle w:val="BodyTextIndent"/>
        <w:spacing w:before="240" w:line="360" w:lineRule="auto"/>
        <w:ind w:left="0" w:firstLine="720"/>
        <w:jc w:val="both"/>
        <w:rPr>
          <w:u w:val="single"/>
        </w:rPr>
      </w:pPr>
      <w:r w:rsidRPr="00A63E94">
        <w:t>15.</w:t>
      </w:r>
      <w:r w:rsidRPr="00A63E94">
        <w:tab/>
      </w:r>
      <w:r>
        <w:rPr>
          <w:b/>
          <w:u w:val="single"/>
        </w:rPr>
        <w:t>COMPLIANCE WITH LAWS AND REGULATIONS</w:t>
      </w:r>
    </w:p>
    <w:p w14:paraId="76022BB5" w14:textId="70BBBCAA" w:rsidR="001D16E4" w:rsidRDefault="001D16E4" w:rsidP="001D16E4">
      <w:pPr>
        <w:pStyle w:val="BodyTextIndent"/>
        <w:spacing w:before="240" w:line="360" w:lineRule="auto"/>
        <w:ind w:left="0"/>
        <w:jc w:val="both"/>
      </w:pPr>
      <w:r>
        <w:t xml:space="preserve">All services to be performed by CONSULTANT under to this Agreement shall be performed in accordance with all applicable federal, state, and local laws, ordinances, rules, and regulations.    Any change in status, licensure, or ability to perform activities, as set forth herein, must be reported to the </w:t>
      </w:r>
      <w:r w:rsidR="00CD365C">
        <w:t>Commission</w:t>
      </w:r>
      <w:r>
        <w:t xml:space="preserve"> immediately.</w:t>
      </w:r>
    </w:p>
    <w:p w14:paraId="4C53A70E" w14:textId="77777777" w:rsidR="001D16E4" w:rsidRDefault="001D16E4" w:rsidP="001D16E4">
      <w:pPr>
        <w:pStyle w:val="BodyTextIndent"/>
        <w:tabs>
          <w:tab w:val="left" w:pos="1440"/>
        </w:tabs>
        <w:spacing w:before="240" w:line="360" w:lineRule="auto"/>
        <w:ind w:left="720"/>
        <w:jc w:val="both"/>
      </w:pPr>
      <w:r>
        <w:t>16.</w:t>
      </w:r>
      <w:r>
        <w:tab/>
      </w:r>
      <w:r>
        <w:rPr>
          <w:b/>
          <w:u w:val="single"/>
        </w:rPr>
        <w:t>LAW AND VENUE</w:t>
      </w:r>
    </w:p>
    <w:p w14:paraId="403C97EE" w14:textId="16A5700E" w:rsidR="001D16E4" w:rsidRDefault="001D16E4" w:rsidP="001D16E4">
      <w:pPr>
        <w:pStyle w:val="BodyTextIndent"/>
        <w:spacing w:before="240" w:line="360" w:lineRule="auto"/>
        <w:ind w:left="0"/>
        <w:jc w:val="both"/>
      </w:pPr>
      <w:r>
        <w:t xml:space="preserve">This agreement shall be deemed to be made in, and shall be governed by and construed in accordance with the laws of the State of </w:t>
      </w:r>
      <w:smartTag w:uri="urn:schemas-microsoft-com:office:smarttags" w:element="State">
        <w:r>
          <w:t>California</w:t>
        </w:r>
      </w:smartTag>
      <w:r>
        <w:t xml:space="preserve"> (excepting any conflict of laws provisions which would serve to defeat application of </w:t>
      </w:r>
      <w:smartTag w:uri="urn:schemas-microsoft-com:office:smarttags" w:element="State">
        <w:smartTag w:uri="urn:schemas-microsoft-com:office:smarttags" w:element="place">
          <w:r>
            <w:t>California</w:t>
          </w:r>
        </w:smartTag>
      </w:smartTag>
      <w:r>
        <w:t xml:space="preserve"> substantive law).  Venue for any action arising from this agreement shall be in Tehama </w:t>
      </w:r>
      <w:r w:rsidR="00CD365C">
        <w:t>Co</w:t>
      </w:r>
      <w:r w:rsidR="000A0CA8">
        <w:t>unty</w:t>
      </w:r>
      <w:r w:rsidRPr="0004034D">
        <w:rPr>
          <w:highlight w:val="yellow"/>
        </w:rPr>
        <w:t>,</w:t>
      </w:r>
      <w:r>
        <w:t xml:space="preserve"> California.</w:t>
      </w:r>
    </w:p>
    <w:p w14:paraId="6F9D691D" w14:textId="77777777" w:rsidR="001D16E4" w:rsidRDefault="001D16E4" w:rsidP="001D16E4">
      <w:pPr>
        <w:pStyle w:val="BodyTextIndent"/>
        <w:spacing w:before="240" w:line="360" w:lineRule="auto"/>
        <w:ind w:left="0" w:firstLine="720"/>
        <w:jc w:val="both"/>
      </w:pPr>
      <w:r w:rsidRPr="002D7764">
        <w:t>17.</w:t>
      </w:r>
      <w:r w:rsidRPr="002D7764">
        <w:tab/>
      </w:r>
      <w:r>
        <w:rPr>
          <w:b/>
          <w:u w:val="single"/>
        </w:rPr>
        <w:t>AUTHORITY</w:t>
      </w:r>
    </w:p>
    <w:p w14:paraId="04D66DB5" w14:textId="77777777" w:rsidR="001D16E4" w:rsidRDefault="001D16E4" w:rsidP="001D16E4">
      <w:pPr>
        <w:pStyle w:val="BodyTextIndent"/>
        <w:spacing w:before="240" w:line="360" w:lineRule="auto"/>
        <w:ind w:left="0"/>
        <w:jc w:val="both"/>
      </w:pPr>
      <w:r>
        <w:lastRenderedPageBreak/>
        <w:t>Each party executing this Agreement and each person executing this Agreement in any representative capacity, hereby fully and completely warrants to all other parties that he or she has full and complete authority to bind the person or entity on whose behalf the signing party is purposing to act.</w:t>
      </w:r>
    </w:p>
    <w:p w14:paraId="313B6915" w14:textId="77777777" w:rsidR="001D16E4" w:rsidRDefault="001D16E4" w:rsidP="001D16E4">
      <w:pPr>
        <w:jc w:val="both"/>
      </w:pPr>
      <w:r>
        <w:br w:type="page"/>
      </w:r>
    </w:p>
    <w:p w14:paraId="4F3B2A89" w14:textId="77777777" w:rsidR="001D16E4" w:rsidRDefault="001D16E4" w:rsidP="001D16E4">
      <w:pPr>
        <w:spacing w:before="240" w:line="360" w:lineRule="auto"/>
        <w:ind w:firstLine="720"/>
        <w:jc w:val="both"/>
        <w:rPr>
          <w:b/>
          <w:u w:val="single"/>
        </w:rPr>
      </w:pPr>
      <w:r>
        <w:lastRenderedPageBreak/>
        <w:t>18.</w:t>
      </w:r>
      <w:r>
        <w:tab/>
      </w:r>
      <w:r>
        <w:rPr>
          <w:b/>
          <w:u w:val="single"/>
        </w:rPr>
        <w:t>NOTICES</w:t>
      </w:r>
    </w:p>
    <w:p w14:paraId="2BDBB6CB" w14:textId="77777777" w:rsidR="001D16E4" w:rsidRDefault="001D16E4" w:rsidP="001D16E4">
      <w:pPr>
        <w:spacing w:before="240" w:line="360" w:lineRule="auto"/>
        <w:jc w:val="both"/>
      </w:pPr>
      <w:r>
        <w:t>Any notice required to be given pursuant to the terms and provisions of this agreement shall be in writing and shall be sent first class mail to the following addresses:</w:t>
      </w:r>
    </w:p>
    <w:p w14:paraId="2700483D" w14:textId="77777777" w:rsidR="001D16E4" w:rsidRDefault="001D16E4" w:rsidP="001D16E4">
      <w:pPr>
        <w:ind w:firstLine="720"/>
      </w:pPr>
    </w:p>
    <w:p w14:paraId="50E0125E" w14:textId="49404B9A" w:rsidR="001D16E4" w:rsidRDefault="001D16E4" w:rsidP="001D16E4">
      <w:pPr>
        <w:ind w:firstLine="720"/>
      </w:pPr>
      <w:r>
        <w:t xml:space="preserve">If to </w:t>
      </w:r>
      <w:r w:rsidR="00CD365C">
        <w:t>Commission</w:t>
      </w:r>
      <w:r>
        <w:t>:</w:t>
      </w:r>
      <w:r>
        <w:tab/>
      </w:r>
      <w:r>
        <w:tab/>
        <w:t>---------------------</w:t>
      </w:r>
    </w:p>
    <w:p w14:paraId="3F2D818E" w14:textId="77777777" w:rsidR="001D16E4" w:rsidRDefault="001D16E4" w:rsidP="001D16E4">
      <w:pPr>
        <w:ind w:left="2880" w:firstLine="720"/>
      </w:pPr>
      <w:r>
        <w:t>---------------------</w:t>
      </w:r>
    </w:p>
    <w:p w14:paraId="4FD00385" w14:textId="77777777" w:rsidR="001D16E4" w:rsidRDefault="001D16E4" w:rsidP="001D16E4">
      <w:pPr>
        <w:ind w:left="2880" w:firstLine="720"/>
      </w:pPr>
      <w:r>
        <w:t>---------------------</w:t>
      </w:r>
    </w:p>
    <w:p w14:paraId="7A23E479" w14:textId="77777777" w:rsidR="001D16E4" w:rsidRDefault="001D16E4" w:rsidP="001D16E4"/>
    <w:p w14:paraId="4E00EA05" w14:textId="77777777" w:rsidR="001D16E4" w:rsidRDefault="001D16E4" w:rsidP="001D16E4">
      <w:pPr>
        <w:ind w:firstLine="720"/>
      </w:pPr>
      <w:r>
        <w:t>If to CONSULTANT:</w:t>
      </w:r>
      <w:r>
        <w:tab/>
      </w:r>
      <w:r>
        <w:tab/>
        <w:t>---------------------</w:t>
      </w:r>
    </w:p>
    <w:p w14:paraId="141EA998" w14:textId="77777777" w:rsidR="001D16E4" w:rsidRDefault="001D16E4" w:rsidP="001D16E4">
      <w:pPr>
        <w:ind w:firstLine="720"/>
      </w:pPr>
      <w:r>
        <w:tab/>
      </w:r>
      <w:r>
        <w:tab/>
      </w:r>
      <w:r>
        <w:tab/>
      </w:r>
      <w:r>
        <w:tab/>
        <w:t>---------------------</w:t>
      </w:r>
    </w:p>
    <w:p w14:paraId="775CF5A5" w14:textId="77777777" w:rsidR="001D16E4" w:rsidRDefault="001D16E4" w:rsidP="001D16E4">
      <w:pPr>
        <w:ind w:firstLine="720"/>
      </w:pPr>
      <w:r>
        <w:tab/>
      </w:r>
      <w:r>
        <w:tab/>
      </w:r>
      <w:r>
        <w:tab/>
      </w:r>
      <w:r>
        <w:tab/>
        <w:t>---------------------</w:t>
      </w:r>
    </w:p>
    <w:p w14:paraId="4448BB72" w14:textId="77777777" w:rsidR="001D16E4" w:rsidRDefault="001D16E4" w:rsidP="001D16E4">
      <w:pPr>
        <w:ind w:firstLine="720"/>
      </w:pPr>
    </w:p>
    <w:p w14:paraId="354BCBAC" w14:textId="77777777" w:rsidR="001D16E4" w:rsidRDefault="001D16E4" w:rsidP="001D16E4">
      <w:pPr>
        <w:jc w:val="both"/>
      </w:pPr>
      <w:r>
        <w:t>Notice shall be deemed to be effective two days after mailing.</w:t>
      </w:r>
    </w:p>
    <w:p w14:paraId="37D1555C" w14:textId="77777777" w:rsidR="001D16E4" w:rsidRDefault="001D16E4" w:rsidP="001D16E4">
      <w:pPr>
        <w:spacing w:before="240" w:line="360" w:lineRule="auto"/>
        <w:ind w:firstLine="720"/>
        <w:jc w:val="both"/>
      </w:pPr>
      <w:r>
        <w:t>19.</w:t>
      </w:r>
      <w:r>
        <w:tab/>
      </w:r>
      <w:r w:rsidRPr="00BB3764">
        <w:rPr>
          <w:b/>
          <w:u w:val="single"/>
        </w:rPr>
        <w:t>NON-EXCLUSIVE AGREEMENT</w:t>
      </w:r>
      <w:r w:rsidRPr="00BB3764">
        <w:t xml:space="preserve">:  </w:t>
      </w:r>
    </w:p>
    <w:p w14:paraId="74C47606" w14:textId="33FC7B9D" w:rsidR="001D16E4" w:rsidRDefault="001D16E4" w:rsidP="001D16E4">
      <w:pPr>
        <w:spacing w:before="240" w:line="360" w:lineRule="auto"/>
        <w:jc w:val="both"/>
      </w:pPr>
      <w:r>
        <w:t>CONSULTANT</w:t>
      </w:r>
      <w:r w:rsidRPr="00BB3764">
        <w:t xml:space="preserve"> understands that this is not an exclusive agreement, and that </w:t>
      </w:r>
      <w:r w:rsidR="00CD365C">
        <w:t>Commission</w:t>
      </w:r>
      <w:r w:rsidRPr="00BB3764">
        <w:t xml:space="preserve"> shall have the right to negotiate with and enter into agreements with others providing the same or similar services </w:t>
      </w:r>
      <w:r>
        <w:t xml:space="preserve">to </w:t>
      </w:r>
      <w:r w:rsidRPr="00BB3764">
        <w:t xml:space="preserve">those provided by </w:t>
      </w:r>
      <w:r>
        <w:t>CONSULTANT</w:t>
      </w:r>
      <w:r w:rsidRPr="00BB3764">
        <w:t xml:space="preserve">, or to perform such services with </w:t>
      </w:r>
      <w:r w:rsidR="00CD365C">
        <w:t>Commission</w:t>
      </w:r>
      <w:r w:rsidRPr="00BB3764">
        <w:t xml:space="preserve">’s own forces, as </w:t>
      </w:r>
      <w:r w:rsidR="00CD365C">
        <w:t>Commission</w:t>
      </w:r>
      <w:r w:rsidRPr="00BB3764">
        <w:t xml:space="preserve"> desires.</w:t>
      </w:r>
    </w:p>
    <w:p w14:paraId="2EC49FDE" w14:textId="0A972696" w:rsidR="000A0CA8" w:rsidRDefault="000A0CA8" w:rsidP="000A0CA8">
      <w:pPr>
        <w:spacing w:before="240" w:line="360" w:lineRule="auto"/>
        <w:ind w:firstLine="720"/>
        <w:rPr>
          <w:snapToGrid/>
          <w:szCs w:val="20"/>
        </w:rPr>
      </w:pPr>
      <w:r>
        <w:rPr>
          <w:b/>
          <w:u w:val="single"/>
        </w:rPr>
        <w:t>20.</w:t>
      </w:r>
      <w:r>
        <w:rPr>
          <w:b/>
          <w:u w:val="single"/>
        </w:rPr>
        <w:tab/>
        <w:t>STANDARDS OF THE PROFESSION</w:t>
      </w:r>
    </w:p>
    <w:p w14:paraId="4835D4D3" w14:textId="77777777" w:rsidR="000A0CA8" w:rsidRDefault="000A0CA8" w:rsidP="000A0CA8">
      <w:pPr>
        <w:spacing w:before="240" w:line="360" w:lineRule="auto"/>
      </w:pPr>
      <w:r>
        <w:t>Contractor agrees to perform its duties and responsibilities pursuant to the terms and conditions of this agreement in accordance with the standards of the profession for which Contractor has been properly licensed to practice.</w:t>
      </w:r>
    </w:p>
    <w:p w14:paraId="062F2B51" w14:textId="6E6B6347" w:rsidR="000A0CA8" w:rsidRDefault="000A0CA8" w:rsidP="000A0CA8">
      <w:pPr>
        <w:spacing w:before="240" w:line="360" w:lineRule="auto"/>
        <w:ind w:firstLine="720"/>
        <w:rPr>
          <w:snapToGrid/>
          <w:szCs w:val="20"/>
        </w:rPr>
      </w:pPr>
      <w:r>
        <w:t>21.</w:t>
      </w:r>
      <w:r>
        <w:tab/>
      </w:r>
      <w:r>
        <w:rPr>
          <w:b/>
          <w:u w:val="single"/>
        </w:rPr>
        <w:t>LICENSING OR ACCREDITATION</w:t>
      </w:r>
    </w:p>
    <w:p w14:paraId="5A9D6B69" w14:textId="77777777" w:rsidR="000A0CA8" w:rsidRDefault="000A0CA8" w:rsidP="000A0CA8">
      <w:pPr>
        <w:spacing w:before="240" w:line="360" w:lineRule="auto"/>
      </w:pPr>
      <w:r>
        <w:t>Where applicable the Contractor shall maintain the appropriate license or accreditation through the life of this contract.</w:t>
      </w:r>
    </w:p>
    <w:p w14:paraId="2FF0A896" w14:textId="6A6CD889" w:rsidR="001D16E4" w:rsidRPr="00704DA8" w:rsidRDefault="000A0CA8" w:rsidP="001D16E4">
      <w:pPr>
        <w:spacing w:before="240" w:line="360" w:lineRule="auto"/>
        <w:ind w:firstLine="720"/>
        <w:jc w:val="both"/>
      </w:pPr>
      <w:r w:rsidRPr="000A0CA8">
        <w:rPr>
          <w:b/>
          <w:bCs/>
        </w:rPr>
        <w:t>22.</w:t>
      </w:r>
      <w:r w:rsidRPr="000A0CA8">
        <w:rPr>
          <w:b/>
          <w:bCs/>
        </w:rPr>
        <w:tab/>
      </w:r>
      <w:r w:rsidR="001D16E4" w:rsidRPr="00704DA8">
        <w:rPr>
          <w:b/>
          <w:bCs/>
          <w:u w:val="single"/>
        </w:rPr>
        <w:t>RESOLUTION OF AMBIGUITIES</w:t>
      </w:r>
      <w:r w:rsidR="001D16E4" w:rsidRPr="00704DA8">
        <w:rPr>
          <w:u w:val="single"/>
        </w:rPr>
        <w:t xml:space="preserve">: </w:t>
      </w:r>
      <w:r w:rsidR="001D16E4" w:rsidRPr="00704DA8">
        <w:t>  </w:t>
      </w:r>
    </w:p>
    <w:p w14:paraId="3E804541" w14:textId="77777777" w:rsidR="001D16E4" w:rsidRDefault="001D16E4" w:rsidP="001D16E4">
      <w:pPr>
        <w:spacing w:line="360" w:lineRule="auto"/>
        <w:jc w:val="both"/>
      </w:pPr>
      <w:r w:rsidRPr="00704DA8">
        <w:t>If an ambiguity exists in this Agreement, or in a specific provision hereof, neither the Agreement nor the provision shall be construed against the party who drafted the Agreement or provision.</w:t>
      </w:r>
    </w:p>
    <w:p w14:paraId="59EDA262" w14:textId="74FDDC58" w:rsidR="001D16E4" w:rsidRPr="00074FEF" w:rsidRDefault="001D16E4" w:rsidP="001D16E4">
      <w:pPr>
        <w:spacing w:before="240" w:line="360" w:lineRule="auto"/>
        <w:ind w:firstLine="720"/>
        <w:jc w:val="both"/>
        <w:rPr>
          <w:u w:val="single"/>
        </w:rPr>
      </w:pPr>
      <w:r>
        <w:t>2</w:t>
      </w:r>
      <w:r w:rsidR="000A0CA8">
        <w:t>3</w:t>
      </w:r>
      <w:r>
        <w:t xml:space="preserve">.  </w:t>
      </w:r>
      <w:r>
        <w:tab/>
      </w:r>
      <w:r w:rsidRPr="00074FEF">
        <w:rPr>
          <w:b/>
          <w:bCs/>
          <w:u w:val="single"/>
        </w:rPr>
        <w:t>NO THIRD PARTY BENEFICIARIES</w:t>
      </w:r>
      <w:r w:rsidRPr="00074FEF">
        <w:rPr>
          <w:u w:val="single"/>
        </w:rPr>
        <w:t xml:space="preserve">: </w:t>
      </w:r>
    </w:p>
    <w:p w14:paraId="0C7B664B" w14:textId="77777777" w:rsidR="001D16E4" w:rsidRDefault="001D16E4" w:rsidP="001D16E4">
      <w:pPr>
        <w:spacing w:before="240" w:line="360" w:lineRule="auto"/>
        <w:jc w:val="both"/>
      </w:pPr>
      <w:r w:rsidRPr="00074FEF">
        <w:lastRenderedPageBreak/>
        <w:t>Neither party intends that any person shall have a cause of action against either of them as a third party beneficiary under this Agreement. The parties expressly acknowledge that is not their intent to create any rights or obligations in any third person or entity under this Agreement. The parties agree that this Agreement does not create, by implication or otherwise, any specific, direct or indirect obligation, duty, promise, benefit and/or special right to any person, other than the parties hereto, their successors and permitted assigns, and legal or equitable rights, remedy, or claim under or in respect to this Agreement or provisions herein.</w:t>
      </w:r>
      <w:r>
        <w:t xml:space="preserve">  </w:t>
      </w:r>
    </w:p>
    <w:p w14:paraId="0DC23FA2" w14:textId="77777777" w:rsidR="000A0CA8" w:rsidRDefault="000A0CA8" w:rsidP="000A0CA8">
      <w:pPr>
        <w:spacing w:before="240" w:line="360" w:lineRule="auto"/>
        <w:rPr>
          <w:snapToGrid/>
          <w:szCs w:val="20"/>
        </w:rPr>
      </w:pPr>
      <w:r>
        <w:tab/>
        <w:t>24.</w:t>
      </w:r>
      <w:r>
        <w:tab/>
      </w:r>
      <w:r>
        <w:rPr>
          <w:b/>
          <w:u w:val="single"/>
        </w:rPr>
        <w:t xml:space="preserve">HAZARDOUS MATERIALS </w:t>
      </w:r>
    </w:p>
    <w:p w14:paraId="700FF3E1" w14:textId="77777777" w:rsidR="000A0CA8" w:rsidRDefault="000A0CA8" w:rsidP="000A0CA8">
      <w:pPr>
        <w:spacing w:before="240" w:line="360" w:lineRule="auto"/>
      </w:pPr>
      <w:r>
        <w:t xml:space="preserve">Contractor shall provide to County all Safety Data Sheets covering all Hazardous Materials to be furnished, used, applied, or stored by Contractor, or any of its Subcontractors, in connection with the services on County property. Contractor shall provide County with copies of any such Safety Data Sheets prior to entry to County property or with a document certifying that no Hazardous Materials will be brought onto County property by Contractor, or any of its Subcontractors, during the performance of the services.  County shall provide Safety Data Sheets for any Hazardous Materials that Contractor may be exposed to while on County property.  </w:t>
      </w:r>
    </w:p>
    <w:p w14:paraId="1FBC8879" w14:textId="77777777" w:rsidR="000A0CA8" w:rsidRDefault="000A0CA8" w:rsidP="000A0CA8">
      <w:pPr>
        <w:spacing w:before="240" w:line="360" w:lineRule="auto"/>
        <w:ind w:firstLine="720"/>
        <w:rPr>
          <w:b/>
          <w:snapToGrid/>
          <w:szCs w:val="20"/>
        </w:rPr>
      </w:pPr>
      <w:r>
        <w:t>25.</w:t>
      </w:r>
      <w:r>
        <w:tab/>
      </w:r>
      <w:r>
        <w:rPr>
          <w:b/>
          <w:u w:val="single"/>
        </w:rPr>
        <w:t>HARASSMENT</w:t>
      </w:r>
    </w:p>
    <w:p w14:paraId="1ECC3B0A" w14:textId="77777777" w:rsidR="000A0CA8" w:rsidRDefault="000A0CA8" w:rsidP="000A0CA8">
      <w:pPr>
        <w:spacing w:before="240" w:line="360" w:lineRule="auto"/>
      </w:pPr>
      <w:r>
        <w:t>Contractor agrees to make itself aware of and comply with the County's Harassment Policy, TCPR §8102: Harassment, which is available upon request. The County will not tolerate or condone harassment, discrimination, retaliation, or any other abusive behavior. Violations of this policy may cause termination of this agreement.</w:t>
      </w:r>
    </w:p>
    <w:p w14:paraId="750FF2CE" w14:textId="77777777" w:rsidR="001D16E4" w:rsidRDefault="001D16E4" w:rsidP="001D16E4"/>
    <w:p w14:paraId="7FE2C570" w14:textId="3D61249A" w:rsidR="001D16E4" w:rsidRDefault="001D16E4" w:rsidP="000A0CA8">
      <w:pPr>
        <w:spacing w:before="240" w:line="360" w:lineRule="auto"/>
        <w:ind w:left="90" w:firstLine="630"/>
        <w:rPr>
          <w:b/>
          <w:bCs/>
          <w:snapToGrid/>
          <w:sz w:val="22"/>
          <w:szCs w:val="22"/>
          <w:u w:val="single"/>
        </w:rPr>
      </w:pPr>
      <w:r>
        <w:t>2</w:t>
      </w:r>
      <w:r w:rsidR="000A0CA8">
        <w:t>6</w:t>
      </w:r>
      <w:r>
        <w:t>.</w:t>
      </w:r>
      <w:r>
        <w:tab/>
      </w:r>
      <w:r>
        <w:rPr>
          <w:b/>
          <w:bCs/>
          <w:u w:val="single"/>
        </w:rPr>
        <w:t>COUNTERPARTS, ELECTRONIC SIGNATURES – BINDING</w:t>
      </w:r>
    </w:p>
    <w:p w14:paraId="39BD5C97" w14:textId="77777777" w:rsidR="001D16E4" w:rsidRDefault="001D16E4" w:rsidP="001D16E4">
      <w:pPr>
        <w:spacing w:before="240" w:line="360" w:lineRule="auto"/>
        <w:ind w:left="90"/>
      </w:pPr>
      <w:r>
        <w:t xml:space="preserve">This agreement may be executed in any number of counterparts, each of which will be an original, but all of which together will constitute one instrument.  Each Party of this agreement agrees to the use of electronic signatures, such as digital signatures that meet the requirements of the California Uniform Electronic Transactions Act ((“CUETA”) Cal. Civil Code §§ 1633.1 to 1633.17), for executing this agreement.  The Parties further agree that the electronic signatures of the Parties included in this agreement are intended to authenticate this writing and </w:t>
      </w:r>
      <w:r>
        <w:lastRenderedPageBreak/>
        <w:t xml:space="preserve">to have the same force and effect as manual signatures.  Electronic signature means an electronic sound, symbol, or process attached to or logically associated with an electronic record and executed or adopted by a person with the intent to sign the electronic record pursuant to the CUETA as amended from time to time. The CUETA authorizes use of an electronic signature for transactions and contracts among Parties in California, including a government agency.  Digital signature means an electronic identifier, created by computer, intended by the party using it to have the same force and effect as the use of a manual signature, and shall be reasonably relied upon by the Parties.  For purposes of this section, a digital signature is a type of “electronic signature” as defined in subdivision (i) of Section 1633.2 of the Civil Code.  Facsimile signatures or signatures transmitted via pdf document shall be treated as originals for all purposes. </w:t>
      </w:r>
    </w:p>
    <w:p w14:paraId="3095CCEC" w14:textId="77777777" w:rsidR="001D16E4" w:rsidRDefault="001D16E4" w:rsidP="001D16E4"/>
    <w:p w14:paraId="7DE338D2" w14:textId="77777777" w:rsidR="001D16E4" w:rsidRDefault="001D16E4" w:rsidP="001D16E4"/>
    <w:p w14:paraId="1107CE3F" w14:textId="11256EDC" w:rsidR="001D16E4" w:rsidRPr="008B0F6E" w:rsidRDefault="001D16E4" w:rsidP="001D16E4">
      <w:pPr>
        <w:spacing w:before="240" w:after="240" w:line="360" w:lineRule="auto"/>
        <w:rPr>
          <w:bCs/>
        </w:rPr>
      </w:pPr>
      <w:r>
        <w:t>2</w:t>
      </w:r>
      <w:r w:rsidR="000A0CA8">
        <w:t>7</w:t>
      </w:r>
      <w:r>
        <w:t>.</w:t>
      </w:r>
      <w:r>
        <w:tab/>
      </w:r>
      <w:r w:rsidRPr="00670F68">
        <w:rPr>
          <w:b/>
          <w:u w:val="single"/>
        </w:rPr>
        <w:t xml:space="preserve">FEDERAL </w:t>
      </w:r>
      <w:commentRangeStart w:id="3"/>
      <w:r w:rsidRPr="00670F68">
        <w:rPr>
          <w:b/>
          <w:u w:val="single"/>
        </w:rPr>
        <w:t>CLAUSES</w:t>
      </w:r>
      <w:commentRangeEnd w:id="3"/>
      <w:r w:rsidRPr="00670F68">
        <w:rPr>
          <w:rStyle w:val="CommentReference"/>
          <w:b/>
          <w:sz w:val="24"/>
          <w:szCs w:val="24"/>
          <w:u w:val="single"/>
        </w:rPr>
        <w:commentReference w:id="3"/>
      </w:r>
      <w:r w:rsidRPr="00670F68">
        <w:rPr>
          <w:b/>
          <w:u w:val="single"/>
        </w:rPr>
        <w:t>:</w:t>
      </w:r>
    </w:p>
    <w:tbl>
      <w:tblPr>
        <w:tblStyle w:val="TableGrid"/>
        <w:tblW w:w="0" w:type="auto"/>
        <w:tblLook w:val="04A0" w:firstRow="1" w:lastRow="0" w:firstColumn="1" w:lastColumn="0" w:noHBand="0" w:noVBand="1"/>
      </w:tblPr>
      <w:tblGrid>
        <w:gridCol w:w="9350"/>
        <w:gridCol w:w="10"/>
      </w:tblGrid>
      <w:tr w:rsidR="001D16E4" w:rsidRPr="008B0F6E" w14:paraId="4529A634" w14:textId="77777777" w:rsidTr="009137E2">
        <w:tc>
          <w:tcPr>
            <w:tcW w:w="9360" w:type="dxa"/>
            <w:gridSpan w:val="2"/>
            <w:tcBorders>
              <w:top w:val="nil"/>
              <w:left w:val="nil"/>
              <w:bottom w:val="nil"/>
              <w:right w:val="nil"/>
            </w:tcBorders>
          </w:tcPr>
          <w:p w14:paraId="73800766" w14:textId="77777777" w:rsidR="001D16E4" w:rsidRPr="008B0F6E" w:rsidRDefault="001D16E4" w:rsidP="009137E2">
            <w:pPr>
              <w:spacing w:before="240" w:line="360" w:lineRule="auto"/>
              <w:ind w:firstLine="720"/>
              <w:rPr>
                <w:bCs/>
                <w:u w:val="single"/>
              </w:rPr>
            </w:pPr>
            <w:r w:rsidRPr="008B0F6E">
              <w:rPr>
                <w:bCs/>
                <w:u w:val="single"/>
              </w:rPr>
              <w:t>No Obligation to Third-Parties by use of a Disclaimer</w:t>
            </w:r>
          </w:p>
          <w:p w14:paraId="11A8BCF5" w14:textId="77777777" w:rsidR="001D16E4" w:rsidRPr="008B0F6E" w:rsidRDefault="001D16E4" w:rsidP="001D16E4">
            <w:pPr>
              <w:numPr>
                <w:ilvl w:val="0"/>
                <w:numId w:val="47"/>
              </w:numPr>
              <w:spacing w:before="240" w:line="360" w:lineRule="auto"/>
              <w:rPr>
                <w:bCs/>
              </w:rPr>
            </w:pPr>
            <w:r w:rsidRPr="008B0F6E">
              <w:rPr>
                <w:bCs/>
                <w:u w:val="single"/>
              </w:rPr>
              <w:t>No Federal Government Obligation to Third Parties</w:t>
            </w:r>
            <w:r w:rsidRPr="008B0F6E">
              <w:rPr>
                <w:bCs/>
              </w:rPr>
              <w:t>. The CONSULTANT agrees that, absent of the Federal Government’s express written consent, the Federal Government shall not be subject to any obligations or liabilities to any CONSULTANT, any third-party CONSULTANT, or any other person not a party to the Grant Agreement in connection with the performance of the PROJECT. Notwithstanding any concurrence provided by the Federal Government in or approval of any solicitation, or third-party agreement, the Federal Government continues to have no obligation or liabilities to any party, including the CONSULTANT or third-party CONSULTANT.</w:t>
            </w:r>
          </w:p>
          <w:p w14:paraId="1165C1DF" w14:textId="77777777" w:rsidR="001D16E4" w:rsidRPr="008B0F6E" w:rsidRDefault="001D16E4" w:rsidP="001D16E4">
            <w:pPr>
              <w:numPr>
                <w:ilvl w:val="0"/>
                <w:numId w:val="47"/>
              </w:numPr>
              <w:spacing w:before="240" w:line="360" w:lineRule="auto"/>
              <w:rPr>
                <w:bCs/>
              </w:rPr>
            </w:pPr>
            <w:r w:rsidRPr="008B0F6E">
              <w:rPr>
                <w:bCs/>
                <w:u w:val="single"/>
              </w:rPr>
              <w:t>Third-Party Contracts and Subagreements Affected.</w:t>
            </w:r>
            <w:r w:rsidRPr="008B0F6E">
              <w:rPr>
                <w:bCs/>
              </w:rPr>
              <w:t xml:space="preserve"> To the extent applicable, federal requirements extend to third-party CONSULTANTs and their contracts at every tier, and to the subagreements of third-party CONSULTANTs and the subagreements at every tier. Accordingly, the CONSULTANT agrees to include, and to require its third-party CONSULTANTs to include appropriate clauses in each third-party contract and </w:t>
            </w:r>
            <w:r w:rsidRPr="008B0F6E">
              <w:rPr>
                <w:bCs/>
              </w:rPr>
              <w:lastRenderedPageBreak/>
              <w:t>each subagreement financed in whole or in part with financial assistance provided by the FTA.</w:t>
            </w:r>
          </w:p>
          <w:p w14:paraId="07CB4AB4" w14:textId="77777777" w:rsidR="001D16E4" w:rsidRPr="008B0F6E" w:rsidRDefault="001D16E4" w:rsidP="001D16E4">
            <w:pPr>
              <w:numPr>
                <w:ilvl w:val="0"/>
                <w:numId w:val="47"/>
              </w:numPr>
              <w:spacing w:before="240" w:line="360" w:lineRule="auto"/>
              <w:rPr>
                <w:bCs/>
              </w:rPr>
            </w:pPr>
            <w:r w:rsidRPr="008B0F6E">
              <w:rPr>
                <w:bCs/>
                <w:u w:val="single"/>
              </w:rPr>
              <w:t xml:space="preserve">No Relationship between the California Department of Transportation and Third-Party </w:t>
            </w:r>
            <w:r w:rsidRPr="008B0F6E">
              <w:rPr>
                <w:bCs/>
              </w:rPr>
              <w:t>CONSULTANT</w:t>
            </w:r>
            <w:r w:rsidRPr="008B0F6E">
              <w:rPr>
                <w:bCs/>
                <w:u w:val="single"/>
              </w:rPr>
              <w:t>s.</w:t>
            </w:r>
            <w:r w:rsidRPr="008B0F6E">
              <w:rPr>
                <w:bCs/>
              </w:rPr>
              <w:t xml:space="preserve"> Nothing contained in this Contract or otherwise, shall create any contractual relationship, obligation or liability between the California Department of Transportation and any third-party CONSULTANTs, and no third-party contract shall relieve the CONSULTANT of his responsibilities and obligations hereunder. The CONSULTANT agrees to be fully responsible to the Awarding Agency for the acts and omissions of its third-party CONSULTANTs and of persons either directly or indirectly employed by any of them as it is for the acts and omissions of persons directly employed by the CONSULTANT. The CONSULTANT’s obligation to pay its third-party CONSULTANTs is an independent obligation from the Awarding Agency’s obligation to make payments to the CONSULTANT. As a result, the California Department of Transportation shall have no obligation to pay or to enforce the payment of any moneys to any third-party CONSULTANT.</w:t>
            </w:r>
          </w:p>
          <w:p w14:paraId="1CFD81D5" w14:textId="77777777" w:rsidR="001D16E4" w:rsidRPr="008B0F6E" w:rsidRDefault="001D16E4" w:rsidP="001D16E4">
            <w:pPr>
              <w:numPr>
                <w:ilvl w:val="0"/>
                <w:numId w:val="47"/>
              </w:numPr>
              <w:spacing w:before="240" w:line="360" w:lineRule="auto"/>
              <w:rPr>
                <w:bCs/>
              </w:rPr>
            </w:pPr>
            <w:r w:rsidRPr="008B0F6E">
              <w:rPr>
                <w:bCs/>
                <w:u w:val="single"/>
              </w:rPr>
              <w:t>Obligations on Behalf of the California Department of Transportation.</w:t>
            </w:r>
            <w:r w:rsidRPr="008B0F6E">
              <w:rPr>
                <w:bCs/>
              </w:rPr>
              <w:t xml:space="preserve"> The CONSULTANT shall have no authority to contract for or on behalf of, or incur obligations on behalf of the California Department of Transportation.</w:t>
            </w:r>
          </w:p>
          <w:p w14:paraId="446A82D3" w14:textId="77777777" w:rsidR="001D16E4" w:rsidRPr="008B0F6E" w:rsidRDefault="001D16E4" w:rsidP="001D16E4">
            <w:pPr>
              <w:numPr>
                <w:ilvl w:val="0"/>
                <w:numId w:val="47"/>
              </w:numPr>
              <w:spacing w:before="240" w:line="360" w:lineRule="auto"/>
              <w:rPr>
                <w:bCs/>
              </w:rPr>
            </w:pPr>
            <w:r w:rsidRPr="008B0F6E">
              <w:rPr>
                <w:bCs/>
                <w:u w:val="single"/>
              </w:rPr>
              <w:t xml:space="preserve">Awarding Agency Approval of Subagreements. </w:t>
            </w:r>
            <w:r w:rsidRPr="008B0F6E">
              <w:rPr>
                <w:bCs/>
              </w:rPr>
              <w:t>The Awarding Agency shall approve in writing all proposed Subagreements, Memorandums of Understanding (MOU), or similar documents relating to the performance of the Contract prior to implementation. The CONSULTANT agrees that it will not enter into any Subagreements unless the same are approved in writing by the Awarding Agency. Any proposed amendments or modifications to such Subagreements must be approved by the Awarding Agency prior to implementation.</w:t>
            </w:r>
          </w:p>
        </w:tc>
      </w:tr>
      <w:tr w:rsidR="001D16E4" w:rsidRPr="008B0F6E" w14:paraId="722BDEFE" w14:textId="77777777" w:rsidTr="009137E2">
        <w:tc>
          <w:tcPr>
            <w:tcW w:w="9360" w:type="dxa"/>
            <w:gridSpan w:val="2"/>
            <w:tcBorders>
              <w:top w:val="nil"/>
              <w:left w:val="nil"/>
              <w:bottom w:val="nil"/>
              <w:right w:val="nil"/>
            </w:tcBorders>
          </w:tcPr>
          <w:p w14:paraId="69D9F2A7" w14:textId="77777777" w:rsidR="001D16E4" w:rsidRPr="008B0F6E" w:rsidRDefault="001D16E4" w:rsidP="009137E2">
            <w:pPr>
              <w:spacing w:before="240" w:line="360" w:lineRule="auto"/>
              <w:ind w:firstLine="720"/>
              <w:rPr>
                <w:bCs/>
                <w:u w:val="single"/>
              </w:rPr>
            </w:pPr>
            <w:r w:rsidRPr="008B0F6E">
              <w:rPr>
                <w:bCs/>
                <w:u w:val="single"/>
              </w:rPr>
              <w:lastRenderedPageBreak/>
              <w:t>Program Fraud and False or Fraudulent Statements or Related Acts</w:t>
            </w:r>
          </w:p>
          <w:p w14:paraId="693EE1BC" w14:textId="77777777" w:rsidR="001D16E4" w:rsidRPr="008B0F6E" w:rsidRDefault="001D16E4" w:rsidP="001D16E4">
            <w:pPr>
              <w:numPr>
                <w:ilvl w:val="0"/>
                <w:numId w:val="46"/>
              </w:numPr>
              <w:spacing w:before="240" w:line="360" w:lineRule="auto"/>
              <w:rPr>
                <w:bCs/>
              </w:rPr>
            </w:pPr>
            <w:r w:rsidRPr="008B0F6E">
              <w:rPr>
                <w:bCs/>
              </w:rPr>
              <w:t xml:space="preserve">The CONSULTANT acknowledges that the provisions of the Program Fraud Civil Remedies Act of 1986, as amended, 31 U.S.C. Section 3801 et seq. and US </w:t>
            </w:r>
            <w:r w:rsidRPr="008B0F6E">
              <w:rPr>
                <w:bCs/>
              </w:rPr>
              <w:lastRenderedPageBreak/>
              <w:t>Department of Transportation regulations, “Program Fraud Civil Remedies,” 49 CFR Part 31, apply to its actions pertaining to this PROJECT. Upon execution of an underlying contract, the CONSULTANT certifies or affirms the truthfulness and accuracy of any statement it has made, it makes, it may make, or causes to be made, and pertaining to the underlying contract or the federally assisted PROJECT for which this contracted work is being performed. In addition to other penalties that may be applicable, the CONSULTANT further acknowledges that if it makes, or causes to be made, a false, fictitious, or fraudulent claim, statement, submission, or certification, the Federal Government reserves the right to impose the penalties of the Program Fraud Civil Remedies Act of 1986 in the CONSULTANT to the extent the Federal Government deems appropriate.</w:t>
            </w:r>
          </w:p>
          <w:p w14:paraId="2C66C6CF" w14:textId="77777777" w:rsidR="001D16E4" w:rsidRPr="008B0F6E" w:rsidRDefault="001D16E4" w:rsidP="001D16E4">
            <w:pPr>
              <w:numPr>
                <w:ilvl w:val="0"/>
                <w:numId w:val="46"/>
              </w:numPr>
              <w:spacing w:before="240" w:line="360" w:lineRule="auto"/>
              <w:rPr>
                <w:bCs/>
              </w:rPr>
            </w:pPr>
            <w:r w:rsidRPr="008B0F6E">
              <w:rPr>
                <w:bCs/>
              </w:rPr>
              <w:t>The CONSULTANT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the FTA under the authority of 49 U.S.C. Section 5307, the Government reserves the right to impose the penalties of 18 U.S.C. Section 1001 and 49 U.S.C. Section 5307(n)(1) on the CONSULTANT, to the extent the Federal Government deems appropriate.</w:t>
            </w:r>
          </w:p>
          <w:p w14:paraId="7DE5C10C" w14:textId="77777777" w:rsidR="001D16E4" w:rsidRPr="008B0F6E" w:rsidRDefault="001D16E4" w:rsidP="001D16E4">
            <w:pPr>
              <w:numPr>
                <w:ilvl w:val="0"/>
                <w:numId w:val="46"/>
              </w:numPr>
              <w:spacing w:before="240" w:line="360" w:lineRule="auto"/>
              <w:rPr>
                <w:bCs/>
              </w:rPr>
            </w:pPr>
            <w:r w:rsidRPr="008B0F6E">
              <w:rPr>
                <w:bCs/>
              </w:rPr>
              <w:t xml:space="preserve">The CONSULTANT agrees to include the above two clauses in each subagreement financed in whole or in part with Federal Assistance provided by the California Department of Transportation. It is further agreed that these clauses shall not be modified, except to identify the </w:t>
            </w:r>
            <w:r>
              <w:rPr>
                <w:bCs/>
              </w:rPr>
              <w:t>subconsultant</w:t>
            </w:r>
            <w:r w:rsidRPr="008B0F6E">
              <w:rPr>
                <w:bCs/>
              </w:rPr>
              <w:t xml:space="preserve"> who will be subject to the provisions.</w:t>
            </w:r>
          </w:p>
        </w:tc>
      </w:tr>
      <w:tr w:rsidR="001D16E4" w:rsidRPr="008B0F6E" w14:paraId="2CB8D27A" w14:textId="77777777" w:rsidTr="009137E2">
        <w:trPr>
          <w:gridAfter w:val="1"/>
          <w:wAfter w:w="10" w:type="dxa"/>
        </w:trPr>
        <w:tc>
          <w:tcPr>
            <w:tcW w:w="9350" w:type="dxa"/>
            <w:tcBorders>
              <w:top w:val="nil"/>
              <w:left w:val="nil"/>
              <w:bottom w:val="nil"/>
              <w:right w:val="nil"/>
            </w:tcBorders>
          </w:tcPr>
          <w:p w14:paraId="1816BD5F" w14:textId="77777777" w:rsidR="001D16E4" w:rsidRPr="008B0F6E" w:rsidRDefault="001D16E4" w:rsidP="009137E2">
            <w:pPr>
              <w:spacing w:before="240" w:line="360" w:lineRule="auto"/>
              <w:ind w:firstLine="720"/>
              <w:rPr>
                <w:bCs/>
                <w:u w:val="single"/>
              </w:rPr>
            </w:pPr>
            <w:r w:rsidRPr="008B0F6E">
              <w:rPr>
                <w:bCs/>
              </w:rPr>
              <w:lastRenderedPageBreak/>
              <w:br w:type="page"/>
            </w:r>
            <w:r w:rsidRPr="008B0F6E">
              <w:rPr>
                <w:bCs/>
                <w:u w:val="single"/>
              </w:rPr>
              <w:t>Access to Records</w:t>
            </w:r>
          </w:p>
          <w:p w14:paraId="3B6BAC2B" w14:textId="77777777" w:rsidR="001D16E4" w:rsidRPr="008B0F6E" w:rsidRDefault="001D16E4" w:rsidP="009137E2">
            <w:pPr>
              <w:spacing w:before="240" w:line="360" w:lineRule="auto"/>
              <w:ind w:firstLine="720"/>
              <w:rPr>
                <w:bCs/>
              </w:rPr>
            </w:pPr>
            <w:r w:rsidRPr="008B0F6E">
              <w:rPr>
                <w:bCs/>
              </w:rPr>
              <w:t xml:space="preserve">The Awarding Agency, the California Department of Transportation, the State Auditor General, and any duly authorized representative of the Federal government shall have access to any books, records, and documents of the CONSULTANT and its </w:t>
            </w:r>
            <w:r>
              <w:rPr>
                <w:bCs/>
              </w:rPr>
              <w:t>subconsultant</w:t>
            </w:r>
            <w:r w:rsidRPr="008B0F6E">
              <w:rPr>
                <w:bCs/>
              </w:rPr>
              <w:t xml:space="preserve">s that are pertinent to this Contract of audits, examinations, excerpts, and transactions, and copies </w:t>
            </w:r>
            <w:r w:rsidRPr="008B0F6E">
              <w:rPr>
                <w:bCs/>
              </w:rPr>
              <w:lastRenderedPageBreak/>
              <w:t>thereof shall be furnished if requested. The CONSULTANT shall include a clause to this effect in every subagreement entered into relative to the PROJECT.</w:t>
            </w:r>
          </w:p>
        </w:tc>
      </w:tr>
      <w:tr w:rsidR="001D16E4" w:rsidRPr="008B0F6E" w14:paraId="64B15EB6" w14:textId="77777777" w:rsidTr="009137E2">
        <w:trPr>
          <w:gridAfter w:val="1"/>
          <w:wAfter w:w="10" w:type="dxa"/>
        </w:trPr>
        <w:tc>
          <w:tcPr>
            <w:tcW w:w="9350" w:type="dxa"/>
            <w:tcBorders>
              <w:top w:val="nil"/>
              <w:left w:val="nil"/>
              <w:bottom w:val="nil"/>
              <w:right w:val="nil"/>
            </w:tcBorders>
          </w:tcPr>
          <w:p w14:paraId="496F5887" w14:textId="77777777" w:rsidR="001D16E4" w:rsidRPr="008B0F6E" w:rsidRDefault="001D16E4" w:rsidP="009137E2">
            <w:pPr>
              <w:spacing w:before="240" w:line="360" w:lineRule="auto"/>
              <w:ind w:firstLine="720"/>
              <w:rPr>
                <w:bCs/>
                <w:u w:val="single"/>
              </w:rPr>
            </w:pPr>
            <w:r w:rsidRPr="008B0F6E">
              <w:rPr>
                <w:bCs/>
                <w:u w:val="single"/>
              </w:rPr>
              <w:lastRenderedPageBreak/>
              <w:t>Record Keeping</w:t>
            </w:r>
          </w:p>
          <w:p w14:paraId="4FA41473" w14:textId="77777777" w:rsidR="001D16E4" w:rsidRPr="008B0F6E" w:rsidRDefault="001D16E4" w:rsidP="009137E2">
            <w:pPr>
              <w:spacing w:before="240" w:line="360" w:lineRule="auto"/>
              <w:ind w:firstLine="720"/>
              <w:rPr>
                <w:bCs/>
                <w:u w:val="single"/>
              </w:rPr>
            </w:pPr>
            <w:r w:rsidRPr="008B0F6E">
              <w:rPr>
                <w:bCs/>
              </w:rPr>
              <w:t xml:space="preserve">The CONSULTANT and all </w:t>
            </w:r>
            <w:r>
              <w:rPr>
                <w:bCs/>
              </w:rPr>
              <w:t>subconsultant</w:t>
            </w:r>
            <w:r w:rsidRPr="008B0F6E">
              <w:rPr>
                <w:bCs/>
              </w:rPr>
              <w:t>s shall maintain all books, documents, papers, accounting records, and other evidence pertaining to the performance of this Contract. All parties shall make such materials available at their respective offices at all reasonable times during the performance and for three (3) years from the date of final payment under this Contract and all subagreements.</w:t>
            </w:r>
          </w:p>
        </w:tc>
      </w:tr>
      <w:tr w:rsidR="001D16E4" w:rsidRPr="008B0F6E" w14:paraId="0126B97A" w14:textId="77777777" w:rsidTr="009137E2">
        <w:trPr>
          <w:gridAfter w:val="1"/>
          <w:wAfter w:w="10" w:type="dxa"/>
        </w:trPr>
        <w:tc>
          <w:tcPr>
            <w:tcW w:w="9350" w:type="dxa"/>
            <w:tcBorders>
              <w:top w:val="nil"/>
              <w:left w:val="nil"/>
              <w:bottom w:val="nil"/>
              <w:right w:val="nil"/>
            </w:tcBorders>
          </w:tcPr>
          <w:p w14:paraId="038B4B48" w14:textId="77777777" w:rsidR="001D16E4" w:rsidRPr="008B0F6E" w:rsidRDefault="001D16E4" w:rsidP="009137E2">
            <w:pPr>
              <w:spacing w:before="240" w:line="360" w:lineRule="auto"/>
              <w:ind w:firstLine="720"/>
              <w:rPr>
                <w:bCs/>
                <w:u w:val="single"/>
              </w:rPr>
            </w:pPr>
            <w:r w:rsidRPr="008B0F6E">
              <w:rPr>
                <w:bCs/>
                <w:u w:val="single"/>
              </w:rPr>
              <w:t>Accounting Records</w:t>
            </w:r>
          </w:p>
          <w:p w14:paraId="11D3B07F" w14:textId="77777777" w:rsidR="001D16E4" w:rsidRPr="008B0F6E" w:rsidRDefault="001D16E4" w:rsidP="009137E2">
            <w:pPr>
              <w:spacing w:before="240" w:line="360" w:lineRule="auto"/>
              <w:ind w:firstLine="720"/>
              <w:rPr>
                <w:bCs/>
                <w:u w:val="single"/>
              </w:rPr>
            </w:pPr>
            <w:r w:rsidRPr="008B0F6E">
              <w:rPr>
                <w:bCs/>
              </w:rPr>
              <w:t>The CONSULTANT shall establish and maintain separate accounting records and reporting procedures specified for the fiscal activities of the PROJECT. The CONSULTANT’s accounting system shall conform to generally accepted accounting principles (GAAP) and uniform standards that may be established by California Department of Transportation. All records shall provide a breakdown of total costs charged to the PROJECT including properly executed payrolls, time records, invoices, and vouchers.</w:t>
            </w:r>
          </w:p>
        </w:tc>
      </w:tr>
      <w:tr w:rsidR="001D16E4" w:rsidRPr="008B0F6E" w14:paraId="428E3EA4" w14:textId="77777777" w:rsidTr="009137E2">
        <w:trPr>
          <w:gridAfter w:val="1"/>
          <w:wAfter w:w="10" w:type="dxa"/>
        </w:trPr>
        <w:tc>
          <w:tcPr>
            <w:tcW w:w="9350" w:type="dxa"/>
            <w:tcBorders>
              <w:top w:val="nil"/>
              <w:left w:val="nil"/>
              <w:bottom w:val="nil"/>
              <w:right w:val="nil"/>
            </w:tcBorders>
          </w:tcPr>
          <w:p w14:paraId="45A63FC8" w14:textId="77777777" w:rsidR="001D16E4" w:rsidRPr="008B0F6E" w:rsidRDefault="001D16E4" w:rsidP="009137E2">
            <w:pPr>
              <w:spacing w:before="240" w:line="360" w:lineRule="auto"/>
              <w:ind w:firstLine="720"/>
              <w:rPr>
                <w:bCs/>
                <w:u w:val="single"/>
              </w:rPr>
            </w:pPr>
            <w:r w:rsidRPr="008B0F6E">
              <w:rPr>
                <w:bCs/>
                <w:u w:val="single"/>
              </w:rPr>
              <w:t>Federal Changes, Amendments to State, and Local Laws, Regulations, and Directives</w:t>
            </w:r>
          </w:p>
          <w:p w14:paraId="15E9B9EC" w14:textId="77777777" w:rsidR="001D16E4" w:rsidRPr="008B0F6E" w:rsidRDefault="001D16E4" w:rsidP="009137E2">
            <w:pPr>
              <w:spacing w:before="240" w:line="360" w:lineRule="auto"/>
              <w:ind w:firstLine="720"/>
              <w:rPr>
                <w:bCs/>
                <w:u w:val="single"/>
              </w:rPr>
            </w:pPr>
            <w:r w:rsidRPr="008B0F6E">
              <w:rPr>
                <w:bCs/>
              </w:rPr>
              <w:t>The terms of the most recent amendments to any federal, State, or local laws, regulations, FTA directives, and amendments to the grant or cooperative contract that may be subsequently adopted, are applicable to the PROJECT to the maximum extent feasible, unless the California Department of Transportation provides otherwise in writing.</w:t>
            </w:r>
          </w:p>
        </w:tc>
      </w:tr>
      <w:tr w:rsidR="001D16E4" w:rsidRPr="008B0F6E" w14:paraId="7AFF461C" w14:textId="77777777" w:rsidTr="009137E2">
        <w:trPr>
          <w:gridAfter w:val="1"/>
          <w:wAfter w:w="10" w:type="dxa"/>
        </w:trPr>
        <w:tc>
          <w:tcPr>
            <w:tcW w:w="9350" w:type="dxa"/>
            <w:tcBorders>
              <w:top w:val="nil"/>
              <w:left w:val="nil"/>
              <w:bottom w:val="nil"/>
              <w:right w:val="nil"/>
            </w:tcBorders>
          </w:tcPr>
          <w:p w14:paraId="66060459" w14:textId="77777777" w:rsidR="001D16E4" w:rsidRPr="008B0F6E" w:rsidRDefault="001D16E4" w:rsidP="009137E2">
            <w:pPr>
              <w:spacing w:before="240" w:line="360" w:lineRule="auto"/>
              <w:ind w:firstLine="720"/>
              <w:rPr>
                <w:bCs/>
                <w:u w:val="single"/>
              </w:rPr>
            </w:pPr>
            <w:r w:rsidRPr="008B0F6E">
              <w:rPr>
                <w:bCs/>
                <w:u w:val="single"/>
              </w:rPr>
              <w:t>Civil Rights (Title VI, EEO, &amp; ADA)</w:t>
            </w:r>
          </w:p>
          <w:p w14:paraId="0FE1C452" w14:textId="77777777" w:rsidR="001D16E4" w:rsidRPr="008B0F6E" w:rsidRDefault="001D16E4" w:rsidP="009137E2">
            <w:pPr>
              <w:spacing w:before="240" w:line="360" w:lineRule="auto"/>
              <w:ind w:firstLine="720"/>
              <w:rPr>
                <w:bCs/>
              </w:rPr>
            </w:pPr>
            <w:r w:rsidRPr="008B0F6E">
              <w:rPr>
                <w:bCs/>
              </w:rPr>
              <w:t>During the performance of this Contract, the CONSULTANT its assignees and successors in interest, agree to comply with all federal statutes and regulations applicable to grantee subrecipients under the Federal Transit Act, including, but not limited to the following:</w:t>
            </w:r>
          </w:p>
          <w:p w14:paraId="6335262C" w14:textId="77777777" w:rsidR="001D16E4" w:rsidRPr="008B0F6E" w:rsidRDefault="001D16E4" w:rsidP="001D16E4">
            <w:pPr>
              <w:numPr>
                <w:ilvl w:val="0"/>
                <w:numId w:val="48"/>
              </w:numPr>
              <w:spacing w:before="240" w:line="360" w:lineRule="auto"/>
              <w:rPr>
                <w:bCs/>
                <w:u w:val="single"/>
              </w:rPr>
            </w:pPr>
            <w:r w:rsidRPr="008B0F6E">
              <w:rPr>
                <w:bCs/>
                <w:u w:val="single"/>
              </w:rPr>
              <w:lastRenderedPageBreak/>
              <w:t>Race, Color, Creed, National Origin, Sex.</w:t>
            </w:r>
            <w:r w:rsidRPr="008B0F6E">
              <w:rPr>
                <w:bCs/>
              </w:rPr>
              <w:t xml:space="preserve"> In accordance with Title VI of the Civil Rights Act, as amended, 42 U.S.C. Section 2000e, and federal transit law at 49 U.S.C. Section 5332, the CONSULTANT Agrees to comply with all applicable equal employment opportunity (EEO) requirements of the U.S. Department of Labor (U.S. DOL) regulations, “Office of Labor,” 41 CFR Parts 60 et seq., (which implement Executive Order No. 11246, “Equal Employment Opportunity,” as amended by Executive Order No. 11375, “Amending Executive Order 11246 Relating to Equal Employment Opportunity,” 42 U.S.C. Section 2000e note), and with any applicable federal statutes, executive orders, regulations, and federal policies that may in the future affect construction activities undertaken in the course of the PROJECT. The CONSULTANT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from training, including apprenticeship. In addition, the CONSULTANT agrees to comply with any implementing requirements the California Department of Transportation any issue.</w:t>
            </w:r>
          </w:p>
          <w:p w14:paraId="09066285" w14:textId="77777777" w:rsidR="001D16E4" w:rsidRPr="008B0F6E" w:rsidRDefault="001D16E4" w:rsidP="001D16E4">
            <w:pPr>
              <w:numPr>
                <w:ilvl w:val="0"/>
                <w:numId w:val="48"/>
              </w:numPr>
              <w:spacing w:before="240" w:line="360" w:lineRule="auto"/>
              <w:rPr>
                <w:bCs/>
                <w:u w:val="single"/>
              </w:rPr>
            </w:pPr>
            <w:r w:rsidRPr="008B0F6E">
              <w:rPr>
                <w:bCs/>
                <w:u w:val="single"/>
              </w:rPr>
              <w:t>Nondiscrimination.</w:t>
            </w:r>
            <w:r w:rsidRPr="008B0F6E">
              <w:rPr>
                <w:bCs/>
              </w:rPr>
              <w:t xml:space="preserve"> The CONSULTANT, with regard to the work performed by it during the contract term shall act in accordance with Title VI. Specifically, the CONSULTANT shall not discriminate on the basis of race, color, national origin, religion, sex, age, or disability in the selection and retention of </w:t>
            </w:r>
            <w:r>
              <w:rPr>
                <w:bCs/>
              </w:rPr>
              <w:t>subconsultant</w:t>
            </w:r>
            <w:r w:rsidRPr="008B0F6E">
              <w:rPr>
                <w:bCs/>
              </w:rPr>
              <w:t xml:space="preserve">s, including procurement of materials and leases of equipment. The CONSULTANT shall not participate either directly or indirectly in the discrimination prohibited by Section 21.5 of the U.S. Department of Transportation’s Regulations, including employment practices when the Contract covers a program whose goal is employment. Further, in accordance with Section 102 of the Americans with Disabilities Act (ADA), as amended, 42 U.S.C. Section 12112, the CONSULTANT agrees that it will comply with the requirements of U.S. Equal Employment Opportunity Commission, “Regulations to Implement the Equal Employment Provisions of the Americans with </w:t>
            </w:r>
            <w:r w:rsidRPr="008B0F6E">
              <w:rPr>
                <w:bCs/>
              </w:rPr>
              <w:lastRenderedPageBreak/>
              <w:t>Disabilities Act,” 29 CFR Part 1630, pertaining to employment of persons with disabilities. In addition, the CONSULTANT agrees to comply with any implementing requirements the California Department of Transportation may issue.</w:t>
            </w:r>
          </w:p>
          <w:p w14:paraId="54FE3772" w14:textId="77777777" w:rsidR="001D16E4" w:rsidRPr="008B0F6E" w:rsidRDefault="001D16E4" w:rsidP="001D16E4">
            <w:pPr>
              <w:numPr>
                <w:ilvl w:val="0"/>
                <w:numId w:val="48"/>
              </w:numPr>
              <w:spacing w:before="240" w:line="360" w:lineRule="auto"/>
              <w:rPr>
                <w:bCs/>
                <w:u w:val="single"/>
              </w:rPr>
            </w:pPr>
            <w:r w:rsidRPr="008B0F6E">
              <w:rPr>
                <w:bCs/>
                <w:u w:val="single"/>
              </w:rPr>
              <w:t xml:space="preserve">Solicitations for </w:t>
            </w:r>
            <w:r>
              <w:rPr>
                <w:bCs/>
                <w:u w:val="single"/>
              </w:rPr>
              <w:t>SUBCONSULTANT</w:t>
            </w:r>
            <w:r w:rsidRPr="008B0F6E">
              <w:rPr>
                <w:bCs/>
                <w:u w:val="single"/>
              </w:rPr>
              <w:t>s Including Procurements of Materials and Equipment.</w:t>
            </w:r>
            <w:r w:rsidRPr="008B0F6E">
              <w:rPr>
                <w:bCs/>
              </w:rPr>
              <w:t xml:space="preserve"> In all solicitations, either by competitive bidding or negotiation by the CONSULTANT for work performed under a subagreement, including procurements of materials or leases of equipment, each potential </w:t>
            </w:r>
            <w:r>
              <w:rPr>
                <w:bCs/>
              </w:rPr>
              <w:t>subconsultant</w:t>
            </w:r>
            <w:r w:rsidRPr="008B0F6E">
              <w:rPr>
                <w:bCs/>
              </w:rPr>
              <w:t xml:space="preserve"> or supplier shall be notified by the CONSULTANT of the </w:t>
            </w:r>
            <w:r>
              <w:rPr>
                <w:bCs/>
              </w:rPr>
              <w:t>subconsultants</w:t>
            </w:r>
            <w:r w:rsidRPr="008B0F6E">
              <w:rPr>
                <w:bCs/>
              </w:rPr>
              <w:t>’s obligations under this Contract and the Regulations relative to nondiscrimination on the grounds of race, color, or national origin.</w:t>
            </w:r>
          </w:p>
          <w:p w14:paraId="37A1F3EB" w14:textId="77777777" w:rsidR="001D16E4" w:rsidRPr="008B0F6E" w:rsidRDefault="001D16E4" w:rsidP="001D16E4">
            <w:pPr>
              <w:numPr>
                <w:ilvl w:val="0"/>
                <w:numId w:val="48"/>
              </w:numPr>
              <w:spacing w:before="240" w:line="360" w:lineRule="auto"/>
              <w:rPr>
                <w:bCs/>
                <w:u w:val="single"/>
              </w:rPr>
            </w:pPr>
            <w:r w:rsidRPr="008B0F6E">
              <w:rPr>
                <w:bCs/>
                <w:u w:val="single"/>
              </w:rPr>
              <w:t>Information and Reports.</w:t>
            </w:r>
            <w:r w:rsidRPr="008B0F6E">
              <w:rPr>
                <w:bCs/>
              </w:rPr>
              <w:t xml:space="preserve"> The CONSULTANT shall provide all information and reports required by the Regulations, or directives issued pursuant thereto, and shall permit access to its books, records, accounts, other sources of information and its facilities as may be determined by the Awarding Agency or the California Department of Transportation to be pertinent to ascertain compliance with such Regulations or directives. Where any information required of a CONSULTANT is in the exclusive possession of another who fails or refuses to furnish the information, the CONSULTANT shall certify to the Awarding Agency of the California Department of Transportation as appropriate, and shall set fourth what efforts it has made to obtain the information.</w:t>
            </w:r>
          </w:p>
          <w:p w14:paraId="5B17609A" w14:textId="77777777" w:rsidR="001D16E4" w:rsidRPr="008B0F6E" w:rsidRDefault="001D16E4" w:rsidP="009137E2">
            <w:pPr>
              <w:spacing w:before="240" w:line="360" w:lineRule="auto"/>
              <w:ind w:firstLine="720"/>
              <w:rPr>
                <w:bCs/>
                <w:u w:val="single"/>
              </w:rPr>
            </w:pPr>
            <w:r w:rsidRPr="008B0F6E">
              <w:rPr>
                <w:bCs/>
                <w:u w:val="single"/>
              </w:rPr>
              <w:t>Sanctions for Noncompliance.</w:t>
            </w:r>
            <w:r w:rsidRPr="008B0F6E">
              <w:rPr>
                <w:bCs/>
              </w:rPr>
              <w:t xml:space="preserve"> In the event of the CONSULTANT’s noncompliance with the nondiscrimination provisions of the Contract, the Awarding Agency shall:</w:t>
            </w:r>
          </w:p>
          <w:p w14:paraId="2AE1D2CE" w14:textId="77777777" w:rsidR="001D16E4" w:rsidRPr="008B0F6E" w:rsidRDefault="001D16E4" w:rsidP="001D16E4">
            <w:pPr>
              <w:numPr>
                <w:ilvl w:val="1"/>
                <w:numId w:val="48"/>
              </w:numPr>
              <w:spacing w:before="240" w:line="360" w:lineRule="auto"/>
              <w:rPr>
                <w:bCs/>
                <w:u w:val="single"/>
              </w:rPr>
            </w:pPr>
            <w:r w:rsidRPr="008B0F6E">
              <w:rPr>
                <w:bCs/>
              </w:rPr>
              <w:t>Withholding of payment to the CONSULTANT under the Contract until the CONSULTANT complies, and/or</w:t>
            </w:r>
          </w:p>
          <w:p w14:paraId="34610107" w14:textId="77777777" w:rsidR="001D16E4" w:rsidRPr="008B0F6E" w:rsidRDefault="001D16E4" w:rsidP="001D16E4">
            <w:pPr>
              <w:numPr>
                <w:ilvl w:val="1"/>
                <w:numId w:val="48"/>
              </w:numPr>
              <w:spacing w:before="240" w:line="360" w:lineRule="auto"/>
              <w:rPr>
                <w:bCs/>
                <w:u w:val="single"/>
              </w:rPr>
            </w:pPr>
            <w:r w:rsidRPr="008B0F6E">
              <w:rPr>
                <w:bCs/>
              </w:rPr>
              <w:t>Cancellation, termination, or suspension of the Contract, in whole or in part.</w:t>
            </w:r>
          </w:p>
          <w:p w14:paraId="08713B5E" w14:textId="77777777" w:rsidR="001D16E4" w:rsidRPr="008B0F6E" w:rsidRDefault="001D16E4" w:rsidP="001D16E4">
            <w:pPr>
              <w:numPr>
                <w:ilvl w:val="0"/>
                <w:numId w:val="48"/>
              </w:numPr>
              <w:spacing w:before="240" w:line="360" w:lineRule="auto"/>
              <w:rPr>
                <w:bCs/>
              </w:rPr>
            </w:pPr>
            <w:r w:rsidRPr="008B0F6E">
              <w:rPr>
                <w:bCs/>
                <w:u w:val="single"/>
              </w:rPr>
              <w:t>Incorporation of Provisions.</w:t>
            </w:r>
            <w:r w:rsidRPr="008B0F6E">
              <w:rPr>
                <w:bCs/>
              </w:rPr>
              <w:t xml:space="preserve"> The CONSULTANT shall include the provisions of these paragraphs A through F in every subagreement, including procurements of materials </w:t>
            </w:r>
            <w:r w:rsidRPr="008B0F6E">
              <w:rPr>
                <w:bCs/>
              </w:rPr>
              <w:lastRenderedPageBreak/>
              <w:t xml:space="preserve">and leases of equipment, unless exempt by the Regulations or directives issued pursuant thereto. The CONSULTANT will take such action with respect to any </w:t>
            </w:r>
            <w:r>
              <w:rPr>
                <w:bCs/>
              </w:rPr>
              <w:t>subconsultants</w:t>
            </w:r>
            <w:r w:rsidRPr="008B0F6E">
              <w:rPr>
                <w:bCs/>
              </w:rPr>
              <w:t xml:space="preserve"> or procurement as the Awarding Agency or the California Department of Transportation may direct as a means of enforcing such provisions including sanctions for noncompliance; provided, however, that in the event a CONSULTANT  becomes involved in, or is threatened with, litigation with a </w:t>
            </w:r>
            <w:r>
              <w:rPr>
                <w:bCs/>
              </w:rPr>
              <w:t>subconsultant</w:t>
            </w:r>
            <w:r w:rsidRPr="008B0F6E">
              <w:rPr>
                <w:bCs/>
              </w:rPr>
              <w:t xml:space="preserve">  or supplier as a result of such directions, the CONSULTANT may request the Awarding Agency to enter into such litigation to protect the interest of the Awarding Agency, and, in addition, the CONSULTANT may request the California Department of Transportation to enter into such litigation to protect the interests of the California Department of Transportation.</w:t>
            </w:r>
          </w:p>
        </w:tc>
      </w:tr>
      <w:tr w:rsidR="001D16E4" w:rsidRPr="008B0F6E" w14:paraId="1EF47AF7" w14:textId="77777777" w:rsidTr="009137E2">
        <w:trPr>
          <w:gridAfter w:val="1"/>
          <w:wAfter w:w="10" w:type="dxa"/>
        </w:trPr>
        <w:tc>
          <w:tcPr>
            <w:tcW w:w="9350" w:type="dxa"/>
            <w:tcBorders>
              <w:top w:val="nil"/>
              <w:left w:val="nil"/>
              <w:bottom w:val="nil"/>
              <w:right w:val="nil"/>
            </w:tcBorders>
          </w:tcPr>
          <w:p w14:paraId="2E318C85" w14:textId="77777777" w:rsidR="001D16E4" w:rsidRPr="008B0F6E" w:rsidRDefault="001D16E4" w:rsidP="009137E2">
            <w:pPr>
              <w:spacing w:before="240" w:line="360" w:lineRule="auto"/>
              <w:ind w:firstLine="720"/>
              <w:rPr>
                <w:bCs/>
                <w:u w:val="single"/>
              </w:rPr>
            </w:pPr>
            <w:r w:rsidRPr="008B0F6E">
              <w:rPr>
                <w:bCs/>
                <w:u w:val="single"/>
              </w:rPr>
              <w:lastRenderedPageBreak/>
              <w:t>Incorporation of FTA Terms</w:t>
            </w:r>
          </w:p>
          <w:p w14:paraId="3DE896F8" w14:textId="77777777" w:rsidR="001D16E4" w:rsidRPr="008B0F6E" w:rsidRDefault="001D16E4" w:rsidP="009137E2">
            <w:pPr>
              <w:spacing w:before="240" w:line="360" w:lineRule="auto"/>
              <w:ind w:firstLine="720"/>
              <w:rPr>
                <w:bCs/>
              </w:rPr>
            </w:pPr>
            <w:r w:rsidRPr="008B0F6E">
              <w:rPr>
                <w:bCs/>
                <w:iCs/>
              </w:rPr>
              <w:t xml:space="preserve">Incorporation of Federal Transit Administration (FTA) Terms - The preceding provisions include, in part, certain Standard Terms and Conditions required by DOT, whether or not expressly set forth in the preceding contract provisions. All contractual provisions required by DOT, as set forth in FTA Circular 4220.1F are hereby incorporated by reference. Anything to the contrary herein notwithstanding, all FTA mandated terms shall be deemed to control in the event of a conflict with other provisions contained in this Agreement. The </w:t>
            </w:r>
            <w:r w:rsidRPr="008B0F6E">
              <w:rPr>
                <w:bCs/>
              </w:rPr>
              <w:t>CONSULTANT</w:t>
            </w:r>
            <w:r w:rsidRPr="008B0F6E">
              <w:rPr>
                <w:bCs/>
                <w:iCs/>
              </w:rPr>
              <w:t xml:space="preserve"> shall not perform any act, fail to perform any act, or refuse to comply with any California Department of Transportation requests which would cause the California Department of Transportation to be in violation of the FTA terms and conditions. The </w:t>
            </w:r>
            <w:r w:rsidRPr="008B0F6E">
              <w:rPr>
                <w:bCs/>
              </w:rPr>
              <w:t>CONSULTANT</w:t>
            </w:r>
            <w:r w:rsidRPr="008B0F6E">
              <w:rPr>
                <w:bCs/>
                <w:iCs/>
              </w:rPr>
              <w:t xml:space="preserve"> shall not perform any act, fail to perform any act, or refuse to comply with any Awarding Agency requests which would cause the Awarding Agency to be in violation of the FTA terms and conditions.</w:t>
            </w:r>
          </w:p>
        </w:tc>
      </w:tr>
      <w:tr w:rsidR="001D16E4" w:rsidRPr="008B0F6E" w14:paraId="0FBA5A6A" w14:textId="77777777" w:rsidTr="009137E2">
        <w:trPr>
          <w:gridAfter w:val="1"/>
          <w:wAfter w:w="10" w:type="dxa"/>
        </w:trPr>
        <w:tc>
          <w:tcPr>
            <w:tcW w:w="9350" w:type="dxa"/>
            <w:tcBorders>
              <w:top w:val="nil"/>
              <w:left w:val="nil"/>
              <w:bottom w:val="nil"/>
              <w:right w:val="nil"/>
            </w:tcBorders>
          </w:tcPr>
          <w:p w14:paraId="241E2B87" w14:textId="77777777" w:rsidR="001D16E4" w:rsidRPr="008B0F6E" w:rsidRDefault="001D16E4" w:rsidP="009137E2">
            <w:pPr>
              <w:spacing w:before="240" w:line="360" w:lineRule="auto"/>
              <w:ind w:firstLine="720"/>
              <w:rPr>
                <w:bCs/>
                <w:u w:val="single"/>
              </w:rPr>
            </w:pPr>
            <w:r w:rsidRPr="008B0F6E">
              <w:rPr>
                <w:bCs/>
              </w:rPr>
              <w:br w:type="page"/>
            </w:r>
            <w:r w:rsidRPr="008B0F6E">
              <w:rPr>
                <w:bCs/>
                <w:u w:val="single"/>
              </w:rPr>
              <w:t>Energy Conservation</w:t>
            </w:r>
          </w:p>
          <w:p w14:paraId="34788CB2" w14:textId="77777777" w:rsidR="001D16E4" w:rsidRPr="008B0F6E" w:rsidRDefault="001D16E4" w:rsidP="009137E2">
            <w:pPr>
              <w:spacing w:before="240" w:line="360" w:lineRule="auto"/>
              <w:ind w:firstLine="720"/>
              <w:rPr>
                <w:bCs/>
              </w:rPr>
            </w:pPr>
            <w:r w:rsidRPr="008B0F6E">
              <w:rPr>
                <w:bCs/>
              </w:rPr>
              <w:t xml:space="preserve">The CONSULTANT agrees to comply with the mandatory energy efficiency standards and policies within the applicable California Department of Transportation energy </w:t>
            </w:r>
            <w:r w:rsidRPr="008B0F6E">
              <w:rPr>
                <w:bCs/>
              </w:rPr>
              <w:lastRenderedPageBreak/>
              <w:t>conservation plans issued in compliance with the Energy Policy and Conservation Act, 42, U.S.C. Section 6321 et seq.</w:t>
            </w:r>
          </w:p>
        </w:tc>
      </w:tr>
      <w:tr w:rsidR="001D16E4" w:rsidRPr="008B0F6E" w14:paraId="349FB65E" w14:textId="77777777" w:rsidTr="009137E2">
        <w:trPr>
          <w:gridAfter w:val="1"/>
          <w:wAfter w:w="10" w:type="dxa"/>
        </w:trPr>
        <w:tc>
          <w:tcPr>
            <w:tcW w:w="9350" w:type="dxa"/>
            <w:tcBorders>
              <w:top w:val="nil"/>
              <w:left w:val="nil"/>
              <w:bottom w:val="nil"/>
              <w:right w:val="nil"/>
            </w:tcBorders>
          </w:tcPr>
          <w:p w14:paraId="7B2B4E80" w14:textId="77777777" w:rsidR="001D16E4" w:rsidRPr="008B0F6E" w:rsidRDefault="001D16E4" w:rsidP="009137E2">
            <w:pPr>
              <w:spacing w:before="240" w:line="360" w:lineRule="auto"/>
              <w:ind w:firstLine="720"/>
              <w:rPr>
                <w:bCs/>
                <w:u w:val="single"/>
              </w:rPr>
            </w:pPr>
            <w:r w:rsidRPr="008B0F6E">
              <w:rPr>
                <w:bCs/>
                <w:u w:val="single"/>
              </w:rPr>
              <w:lastRenderedPageBreak/>
              <w:t>Additional Termination Provisions</w:t>
            </w:r>
          </w:p>
          <w:p w14:paraId="476F74F8" w14:textId="77777777" w:rsidR="001D16E4" w:rsidRPr="008B0F6E" w:rsidRDefault="001D16E4" w:rsidP="001D16E4">
            <w:pPr>
              <w:numPr>
                <w:ilvl w:val="0"/>
                <w:numId w:val="49"/>
              </w:numPr>
              <w:spacing w:before="240" w:line="360" w:lineRule="auto"/>
              <w:rPr>
                <w:bCs/>
                <w:u w:val="single"/>
              </w:rPr>
            </w:pPr>
            <w:r w:rsidRPr="008B0F6E">
              <w:rPr>
                <w:bCs/>
                <w:u w:val="single"/>
              </w:rPr>
              <w:t>Termination for Convenience (General Provision).</w:t>
            </w:r>
            <w:r w:rsidRPr="008B0F6E">
              <w:rPr>
                <w:bCs/>
              </w:rPr>
              <w:t xml:space="preserve"> When it is in the Awarding Agency’s best interest, the Awarding Agency reserves the right to terminate this Contract, in whole or in part, at any time by providing a TEN (10) DAY WRITTEN NOTICE to the CONSULTANT. The CONSULTANT shall be paid its costs, including contract closeout costs, and profit on work performed up to the time of termination. The CONSULTANT shall promptly submit its termination claim to the Awarding Agency. If the CONSULTANT has any property in its possession belonging to the Awarding Agency, the CONSULTANT will account for the same, and dispose of it in the manner the Awarding Agency directs.</w:t>
            </w:r>
          </w:p>
          <w:p w14:paraId="19E71A4C" w14:textId="77777777" w:rsidR="001D16E4" w:rsidRPr="008B0F6E" w:rsidRDefault="001D16E4" w:rsidP="001D16E4">
            <w:pPr>
              <w:numPr>
                <w:ilvl w:val="0"/>
                <w:numId w:val="49"/>
              </w:numPr>
              <w:spacing w:before="240" w:line="360" w:lineRule="auto"/>
              <w:rPr>
                <w:bCs/>
              </w:rPr>
            </w:pPr>
            <w:r w:rsidRPr="008B0F6E">
              <w:rPr>
                <w:bCs/>
                <w:u w:val="single"/>
              </w:rPr>
              <w:t>Termination for Default (General Provision).</w:t>
            </w:r>
            <w:r w:rsidRPr="008B0F6E">
              <w:rPr>
                <w:bCs/>
              </w:rPr>
              <w:t xml:space="preserve"> If the CONSULTANT does not deliver supplies in accordance with the contract delivery schedule, or, if the contract is for services, the CONSULTANT fails to perform in the manner called for in the contract, or if the CONSULTANT fails to comply with any other provisions of the contract, the Awarding Agency may terminate this contract for default. Termination shall be effected by serving a notice of termination on the CONSULTANT setting forth the manner in which the CONSULTANT is in default. The CONSULTANT will only be paid the contract price for supplies delivered and accepted, or services performed in accordance with the manner of performance set forth in the contract.</w:t>
            </w:r>
          </w:p>
          <w:p w14:paraId="51E8A508" w14:textId="77777777" w:rsidR="001D16E4" w:rsidRPr="008B0F6E" w:rsidRDefault="001D16E4" w:rsidP="009137E2">
            <w:pPr>
              <w:spacing w:before="240" w:line="360" w:lineRule="auto"/>
              <w:ind w:left="705"/>
              <w:rPr>
                <w:bCs/>
                <w:u w:val="single"/>
              </w:rPr>
            </w:pPr>
            <w:r>
              <w:rPr>
                <w:bCs/>
              </w:rPr>
              <w:t>I</w:t>
            </w:r>
            <w:r w:rsidRPr="008B0F6E">
              <w:rPr>
                <w:bCs/>
              </w:rPr>
              <w:t>f it is later determined by the Awarding Agency that the CONSULTANT had an excusable reason for not performing, such as a strike, fire, or flood, events which are not the fault of or are beyond the control of the CONSULTANT, the Awarding Agency, after setting up a new delivery of performance schedule, may allow the CONSULTANT to continue work, or treat the termination as a termination for convenience.</w:t>
            </w:r>
          </w:p>
          <w:p w14:paraId="6510126C" w14:textId="77777777" w:rsidR="001D16E4" w:rsidRPr="008B0F6E" w:rsidRDefault="001D16E4" w:rsidP="001D16E4">
            <w:pPr>
              <w:numPr>
                <w:ilvl w:val="0"/>
                <w:numId w:val="49"/>
              </w:numPr>
              <w:spacing w:before="240" w:line="360" w:lineRule="auto"/>
              <w:rPr>
                <w:bCs/>
                <w:u w:val="single"/>
              </w:rPr>
            </w:pPr>
            <w:r w:rsidRPr="008B0F6E">
              <w:rPr>
                <w:bCs/>
                <w:u w:val="single"/>
              </w:rPr>
              <w:lastRenderedPageBreak/>
              <w:t>Mutual Termination.</w:t>
            </w:r>
            <w:r w:rsidRPr="008B0F6E">
              <w:rPr>
                <w:bCs/>
              </w:rPr>
              <w:t xml:space="preserve"> The PROJECT may also be terminated if the Awarding Agency and the CONSULTANT agree that its continuation would not produce beneficial results commensurate with the further expenditure of funds or if there are inadequate funds to operate the PROJECT equipment or otherwise complete the PROJECT.</w:t>
            </w:r>
          </w:p>
        </w:tc>
      </w:tr>
      <w:tr w:rsidR="001D16E4" w:rsidRPr="008B0F6E" w14:paraId="653AC7BD" w14:textId="77777777" w:rsidTr="009137E2">
        <w:trPr>
          <w:gridAfter w:val="1"/>
          <w:wAfter w:w="10" w:type="dxa"/>
        </w:trPr>
        <w:tc>
          <w:tcPr>
            <w:tcW w:w="9350" w:type="dxa"/>
            <w:tcBorders>
              <w:top w:val="nil"/>
              <w:left w:val="nil"/>
              <w:bottom w:val="nil"/>
              <w:right w:val="nil"/>
            </w:tcBorders>
          </w:tcPr>
          <w:p w14:paraId="6E23F4A9" w14:textId="77777777" w:rsidR="001D16E4" w:rsidRPr="008B0F6E" w:rsidRDefault="001D16E4" w:rsidP="009137E2">
            <w:pPr>
              <w:spacing w:before="240" w:line="360" w:lineRule="auto"/>
              <w:ind w:firstLine="720"/>
              <w:rPr>
                <w:bCs/>
                <w:u w:val="single"/>
              </w:rPr>
            </w:pPr>
            <w:r w:rsidRPr="008B0F6E">
              <w:rPr>
                <w:bCs/>
                <w:u w:val="single"/>
              </w:rPr>
              <w:lastRenderedPageBreak/>
              <w:t>Debarment and Suspension</w:t>
            </w:r>
          </w:p>
          <w:p w14:paraId="746DE04B" w14:textId="77777777" w:rsidR="001D16E4" w:rsidRPr="008B0F6E" w:rsidRDefault="001D16E4" w:rsidP="001D16E4">
            <w:pPr>
              <w:numPr>
                <w:ilvl w:val="0"/>
                <w:numId w:val="50"/>
              </w:numPr>
              <w:spacing w:before="240" w:line="360" w:lineRule="auto"/>
              <w:rPr>
                <w:bCs/>
              </w:rPr>
            </w:pPr>
            <w:r w:rsidRPr="008B0F6E">
              <w:rPr>
                <w:bCs/>
              </w:rPr>
              <w:t>The CONSULTANT agrees to comply with the requirements of Executive Order Nos. 12549 and 12689, “Debarment and Suspension,” 31 U.S.C. Section 6101 note; and U.S. DEPARTMENT OF TRANSPORTATION regulations on Debarment and Suspension and 49 CFR Part 29.</w:t>
            </w:r>
          </w:p>
          <w:p w14:paraId="3642827A" w14:textId="77777777" w:rsidR="001D16E4" w:rsidRPr="008B0F6E" w:rsidRDefault="001D16E4" w:rsidP="001D16E4">
            <w:pPr>
              <w:numPr>
                <w:ilvl w:val="0"/>
                <w:numId w:val="50"/>
              </w:numPr>
              <w:spacing w:before="240" w:line="360" w:lineRule="auto"/>
              <w:rPr>
                <w:bCs/>
              </w:rPr>
            </w:pPr>
            <w:r w:rsidRPr="008B0F6E">
              <w:rPr>
                <w:bCs/>
              </w:rPr>
              <w:t>Unless otherwise permitted by the California Department of Transportation, the CONSULTANT agrees to refrain from awarding any third-party contract of any amount to or entering into any sub-contract of any amount with a party included in the “U.S. General Services Administration’s (U.S. GSA) List of Parties Excluded from Federal procurement and Non-procurement Program,” implementing Executive Order Nos. 12549 and 12689, “Debarment and Suspension” and 49 CFR Part 29. The list also must include the names of parties debarred, suspended, or otherwise excluded by agencies, and CONSULTANT’s declared ineligible for contract award under statutory or regulatory authority other than Executive Order Nos. 12546 and 12689.</w:t>
            </w:r>
          </w:p>
          <w:p w14:paraId="30944515" w14:textId="77777777" w:rsidR="001D16E4" w:rsidRPr="008B0F6E" w:rsidRDefault="001D16E4" w:rsidP="001D16E4">
            <w:pPr>
              <w:numPr>
                <w:ilvl w:val="0"/>
                <w:numId w:val="50"/>
              </w:numPr>
              <w:spacing w:before="240" w:line="360" w:lineRule="auto"/>
              <w:rPr>
                <w:bCs/>
              </w:rPr>
            </w:pPr>
            <w:r w:rsidRPr="008B0F6E">
              <w:rPr>
                <w:bCs/>
              </w:rPr>
              <w:t xml:space="preserve">Before entering into any subagreements with any </w:t>
            </w:r>
            <w:r>
              <w:rPr>
                <w:bCs/>
              </w:rPr>
              <w:t>subconsultant</w:t>
            </w:r>
            <w:r w:rsidRPr="008B0F6E">
              <w:rPr>
                <w:bCs/>
              </w:rPr>
              <w:t>, the CONSULTANT agrees to obtain a debarment and suspension certification from each prospective recipient containing information about the debarment and suspension status and other specific information of that awarding agency and its “principals,” as defined at 49 CFR Part 29.</w:t>
            </w:r>
          </w:p>
          <w:p w14:paraId="432B0A66" w14:textId="77777777" w:rsidR="001D16E4" w:rsidRPr="008B0F6E" w:rsidRDefault="001D16E4" w:rsidP="001D16E4">
            <w:pPr>
              <w:numPr>
                <w:ilvl w:val="0"/>
                <w:numId w:val="50"/>
              </w:numPr>
              <w:spacing w:before="240" w:line="360" w:lineRule="auto"/>
              <w:rPr>
                <w:bCs/>
              </w:rPr>
            </w:pPr>
            <w:r w:rsidRPr="008B0F6E">
              <w:rPr>
                <w:bCs/>
              </w:rPr>
              <w:t xml:space="preserve">Before entering into any third-party contract exceeding $25,000.00, the CONSULTANT agrees to obtain a debarment and suspension certification from each third-party CONSULTANT containing information about the debarment and suspension status of that third-party CONSULTANT and its “principals,” as defined at </w:t>
            </w:r>
            <w:r w:rsidRPr="008B0F6E">
              <w:rPr>
                <w:bCs/>
              </w:rPr>
              <w:lastRenderedPageBreak/>
              <w:t xml:space="preserve">49 CFR 29.105(p). The CONSULTANT also agrees to require each third-party CONSULTANT to refrain from awarding any subagreements of any amount, at any tier, to a debarred or suspended </w:t>
            </w:r>
            <w:r>
              <w:rPr>
                <w:bCs/>
              </w:rPr>
              <w:t>subconsultant</w:t>
            </w:r>
            <w:r w:rsidRPr="008B0F6E">
              <w:rPr>
                <w:bCs/>
              </w:rPr>
              <w:t xml:space="preserve">, and to obtain a similar certification for any third-party </w:t>
            </w:r>
            <w:r>
              <w:rPr>
                <w:bCs/>
              </w:rPr>
              <w:t>subconsultant</w:t>
            </w:r>
            <w:r w:rsidRPr="008B0F6E">
              <w:rPr>
                <w:bCs/>
              </w:rPr>
              <w:t>, at any tier, seeking a contract exceeding $25,000.00.</w:t>
            </w:r>
          </w:p>
        </w:tc>
      </w:tr>
      <w:tr w:rsidR="001D16E4" w:rsidRPr="008B0F6E" w14:paraId="3C38E3C7" w14:textId="77777777" w:rsidTr="009137E2">
        <w:trPr>
          <w:gridAfter w:val="1"/>
          <w:wAfter w:w="10" w:type="dxa"/>
        </w:trPr>
        <w:tc>
          <w:tcPr>
            <w:tcW w:w="9350" w:type="dxa"/>
            <w:tcBorders>
              <w:top w:val="nil"/>
              <w:left w:val="nil"/>
              <w:bottom w:val="nil"/>
              <w:right w:val="nil"/>
            </w:tcBorders>
          </w:tcPr>
          <w:p w14:paraId="1B0D91F4" w14:textId="77777777" w:rsidR="001D16E4" w:rsidRPr="008B0F6E" w:rsidRDefault="001D16E4" w:rsidP="009137E2">
            <w:pPr>
              <w:spacing w:before="240" w:line="360" w:lineRule="auto"/>
              <w:ind w:firstLine="720"/>
              <w:rPr>
                <w:bCs/>
                <w:u w:val="single"/>
              </w:rPr>
            </w:pPr>
            <w:r w:rsidRPr="008B0F6E">
              <w:rPr>
                <w:bCs/>
                <w:u w:val="single"/>
              </w:rPr>
              <w:lastRenderedPageBreak/>
              <w:t>Buy America</w:t>
            </w:r>
          </w:p>
          <w:p w14:paraId="72A4ED84" w14:textId="77777777" w:rsidR="001D16E4" w:rsidRPr="008B0F6E" w:rsidRDefault="001D16E4" w:rsidP="009137E2">
            <w:pPr>
              <w:spacing w:before="240" w:line="360" w:lineRule="auto"/>
              <w:ind w:left="150" w:firstLine="720"/>
              <w:rPr>
                <w:bCs/>
              </w:rPr>
            </w:pPr>
            <w:r w:rsidRPr="008B0F6E">
              <w:rPr>
                <w:bCs/>
              </w:rPr>
              <w:t xml:space="preserve">The CONSULTANT shall comply with the Buy-America requirements of 49 U.S.C. 5323(j) and 49 CFR Part 661 for all procurements of steel, iron, and manufactured products used in PROJECT. Buy-America requirements apply to all purchases, including materials and supplies funded as operating costs, if the purchase equals or exceeds $100,000.00. Separate requirements for rolling stock are set out at 49 U.S.C. 5323(j)(2)(c) and 49 CFR 661.11. Rolling stock must be assembled in the United States and have a 60 percent domestic content.  </w:t>
            </w:r>
          </w:p>
        </w:tc>
      </w:tr>
      <w:tr w:rsidR="001D16E4" w:rsidRPr="008B0F6E" w14:paraId="3724AC69" w14:textId="77777777" w:rsidTr="009137E2">
        <w:trPr>
          <w:gridAfter w:val="1"/>
          <w:wAfter w:w="10" w:type="dxa"/>
        </w:trPr>
        <w:tc>
          <w:tcPr>
            <w:tcW w:w="9350" w:type="dxa"/>
            <w:tcBorders>
              <w:top w:val="nil"/>
              <w:left w:val="nil"/>
              <w:bottom w:val="nil"/>
              <w:right w:val="nil"/>
            </w:tcBorders>
          </w:tcPr>
          <w:p w14:paraId="6D8728D3" w14:textId="77777777" w:rsidR="001D16E4" w:rsidRPr="008B0F6E" w:rsidRDefault="001D16E4" w:rsidP="009137E2">
            <w:pPr>
              <w:spacing w:before="240" w:line="360" w:lineRule="auto"/>
              <w:ind w:firstLine="720"/>
              <w:rPr>
                <w:bCs/>
                <w:u w:val="single"/>
              </w:rPr>
            </w:pPr>
            <w:r w:rsidRPr="008B0F6E">
              <w:rPr>
                <w:bCs/>
                <w:u w:val="single"/>
              </w:rPr>
              <w:t>Provisions for Resolution of Disputes, Breaches, or Other Litigation</w:t>
            </w:r>
          </w:p>
          <w:p w14:paraId="75361731" w14:textId="77777777" w:rsidR="001D16E4" w:rsidRPr="008B0F6E" w:rsidRDefault="001D16E4" w:rsidP="009137E2">
            <w:pPr>
              <w:spacing w:before="240" w:line="360" w:lineRule="auto"/>
              <w:ind w:firstLine="720"/>
              <w:rPr>
                <w:bCs/>
              </w:rPr>
            </w:pPr>
            <w:r w:rsidRPr="008B0F6E">
              <w:rPr>
                <w:bCs/>
              </w:rPr>
              <w:t>The Awarding Agency and the CONSULTANT shall deal in good faith and attempt to resolve potential disputes informally. If the dispute persists, the CONSULTANT shall submit to the Awarding Agency Representative for this Contract or designee a written demand for a decision regarding the disposition of any dispute arising under this Contract. The Awarding Agency Representative shall make a written decision regarding the dispute and will provide it to the CONSULTANT. The CONSULTANT shall have the opportunity to challenge in writing within ten (10) working days to the Awarding Agency’s Executive Director or his/her designee. If the CONSULTANT’s challenge is not made within the ten (10) day period, the Awarding Agency Representative’s decision shall become the final decision of the Awarding Agency. The Awarding Agency and the CONSULTANT shall submit written, factual information and supporting data in support of their respective positions. The decision of the Awarding Agency shall be final, conclusive, and binding regarding the dispute, unless the CONSULTANT commences an action in court of competent jurisdiction to contest the decision in accordance with Division 3.6 of the California Government Code.</w:t>
            </w:r>
          </w:p>
        </w:tc>
      </w:tr>
      <w:tr w:rsidR="001D16E4" w:rsidRPr="008B0F6E" w14:paraId="24A288A9" w14:textId="77777777" w:rsidTr="009137E2">
        <w:trPr>
          <w:gridAfter w:val="1"/>
          <w:wAfter w:w="10" w:type="dxa"/>
        </w:trPr>
        <w:tc>
          <w:tcPr>
            <w:tcW w:w="9350" w:type="dxa"/>
            <w:tcBorders>
              <w:top w:val="nil"/>
              <w:left w:val="nil"/>
              <w:bottom w:val="nil"/>
              <w:right w:val="nil"/>
            </w:tcBorders>
          </w:tcPr>
          <w:p w14:paraId="14F70A7E" w14:textId="77777777" w:rsidR="001D16E4" w:rsidRPr="008B0F6E" w:rsidRDefault="001D16E4" w:rsidP="009137E2">
            <w:pPr>
              <w:spacing w:before="240" w:line="360" w:lineRule="auto"/>
              <w:ind w:firstLine="720"/>
              <w:rPr>
                <w:bCs/>
                <w:u w:val="single"/>
              </w:rPr>
            </w:pPr>
            <w:r w:rsidRPr="008B0F6E">
              <w:rPr>
                <w:bCs/>
                <w:u w:val="single"/>
              </w:rPr>
              <w:t>Lobbying</w:t>
            </w:r>
          </w:p>
          <w:p w14:paraId="645A4F26" w14:textId="77777777" w:rsidR="001D16E4" w:rsidRPr="008B0F6E" w:rsidRDefault="001D16E4" w:rsidP="001D16E4">
            <w:pPr>
              <w:numPr>
                <w:ilvl w:val="0"/>
                <w:numId w:val="51"/>
              </w:numPr>
              <w:spacing w:before="240" w:line="360" w:lineRule="auto"/>
              <w:rPr>
                <w:bCs/>
              </w:rPr>
            </w:pPr>
            <w:r w:rsidRPr="008B0F6E">
              <w:rPr>
                <w:bCs/>
              </w:rPr>
              <w:lastRenderedPageBreak/>
              <w:t>The CONSULTANT agrees that it will not use federal assistance funds to support lobbying. In accordance with 31 U.S.C. and U.S. Department of Transportation Regulations, “New Restrictions on Lobbying.” 49 CFR Part 20, if the bid is for an award for $100,000.00 or more the Awarding Agency will not make any federal assistance available to the CONSULTANT until the Awarding Agency has received the CONSULTANT’s certification that the CONSULTANT has not and will not use federal appropriated funds to pay any person or organization to influence or attempt to influence an officer or employee of any federal agency, a member of Congress, an officer or employee of Congress, or an employee of a member of Congress in connection with the awarding of any federal grant, cooperative agreement, or any other federal award from which funding for the PROJECT is originally derived, consistent with 31 U.S.C. Section 1352, and;</w:t>
            </w:r>
          </w:p>
          <w:p w14:paraId="779B5AAA" w14:textId="77777777" w:rsidR="001D16E4" w:rsidRPr="008B0F6E" w:rsidRDefault="001D16E4" w:rsidP="001D16E4">
            <w:pPr>
              <w:numPr>
                <w:ilvl w:val="0"/>
                <w:numId w:val="51"/>
              </w:numPr>
              <w:spacing w:before="240" w:line="360" w:lineRule="auto"/>
              <w:rPr>
                <w:bCs/>
              </w:rPr>
            </w:pPr>
            <w:r w:rsidRPr="008B0F6E">
              <w:rPr>
                <w:bCs/>
              </w:rPr>
              <w:t>If applicable, if any funds other than federal appropriated funds have been paid or will be paid to any person for influencing or attempting to influence an office or employee of any federal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the form instructions.</w:t>
            </w:r>
          </w:p>
          <w:p w14:paraId="1DF2213F" w14:textId="77777777" w:rsidR="001D16E4" w:rsidRPr="008B0F6E" w:rsidRDefault="001D16E4" w:rsidP="001D16E4">
            <w:pPr>
              <w:numPr>
                <w:ilvl w:val="0"/>
                <w:numId w:val="51"/>
              </w:numPr>
              <w:spacing w:before="240" w:line="360" w:lineRule="auto"/>
              <w:rPr>
                <w:bCs/>
              </w:rPr>
            </w:pPr>
            <w:r w:rsidRPr="008B0F6E">
              <w:rPr>
                <w:bCs/>
              </w:rPr>
              <w:t>The CONSULTANT shall require that the language of the above two clauses be included in the award documents for all sub-awards at all tiers (including subagreements, sub-grants, and contracts under grants, loans, and cooperative agreements) which exceed $100,000.00 and that all awarding agencies shall certify and disclose accordingly.</w:t>
            </w:r>
          </w:p>
          <w:p w14:paraId="6CF24088" w14:textId="77777777" w:rsidR="001D16E4" w:rsidRPr="008B0F6E" w:rsidRDefault="001D16E4" w:rsidP="009137E2">
            <w:pPr>
              <w:spacing w:before="240" w:line="360" w:lineRule="auto"/>
              <w:ind w:firstLine="720"/>
              <w:rPr>
                <w:bCs/>
              </w:rPr>
            </w:pPr>
            <w:r w:rsidRPr="008B0F6E">
              <w:rPr>
                <w:bCs/>
              </w:rPr>
              <w:t xml:space="preserve">This Contract is a material representation of facts upon which reliance was placed when the Contract was made or entered into. These provisions are a prerequisite for making or entering into a Contract imposed by Section 1352, Title 31, U.S. Code. Any person who fails </w:t>
            </w:r>
            <w:r w:rsidRPr="008B0F6E">
              <w:rPr>
                <w:bCs/>
              </w:rPr>
              <w:lastRenderedPageBreak/>
              <w:t>to comply with these provisions shall be subject to a civil penalty of not less than $10,000.00 and not more than $100,000.00 for each failure.</w:t>
            </w:r>
          </w:p>
        </w:tc>
      </w:tr>
      <w:tr w:rsidR="001D16E4" w:rsidRPr="008B0F6E" w14:paraId="01007D97" w14:textId="77777777" w:rsidTr="009137E2">
        <w:trPr>
          <w:gridAfter w:val="1"/>
          <w:wAfter w:w="10" w:type="dxa"/>
        </w:trPr>
        <w:tc>
          <w:tcPr>
            <w:tcW w:w="9350" w:type="dxa"/>
            <w:tcBorders>
              <w:top w:val="nil"/>
              <w:left w:val="nil"/>
              <w:bottom w:val="nil"/>
              <w:right w:val="nil"/>
            </w:tcBorders>
          </w:tcPr>
          <w:p w14:paraId="0A617A90" w14:textId="77777777" w:rsidR="001D16E4" w:rsidRPr="008B0F6E" w:rsidRDefault="001D16E4" w:rsidP="009137E2">
            <w:pPr>
              <w:spacing w:before="240" w:line="360" w:lineRule="auto"/>
              <w:ind w:firstLine="720"/>
              <w:rPr>
                <w:bCs/>
                <w:u w:val="single"/>
              </w:rPr>
            </w:pPr>
            <w:r w:rsidRPr="008B0F6E">
              <w:rPr>
                <w:bCs/>
                <w:u w:val="single"/>
              </w:rPr>
              <w:lastRenderedPageBreak/>
              <w:t>Clean Air</w:t>
            </w:r>
          </w:p>
          <w:p w14:paraId="58A79E82" w14:textId="77777777" w:rsidR="001D16E4" w:rsidRPr="008B0F6E" w:rsidRDefault="001D16E4" w:rsidP="001D16E4">
            <w:pPr>
              <w:numPr>
                <w:ilvl w:val="0"/>
                <w:numId w:val="52"/>
              </w:numPr>
              <w:spacing w:before="240" w:line="360" w:lineRule="auto"/>
              <w:rPr>
                <w:bCs/>
              </w:rPr>
            </w:pPr>
            <w:r w:rsidRPr="008B0F6E">
              <w:rPr>
                <w:bCs/>
              </w:rPr>
              <w:t>The CONSULTANT agrees to comply with all applicable standards, orders or regulations issued pursuant to the Clean Air Act, as amended, 42 U.S.C. Section 7401 et seq. The CONSULTANT agrees to report each violation to the Awarding Agency and understands and agrees that the Awarding Agency will, in turn, report each violation as required to assure notification to FTA and the appropriate EPA Regional Office.</w:t>
            </w:r>
          </w:p>
          <w:p w14:paraId="3178C3E9" w14:textId="77777777" w:rsidR="001D16E4" w:rsidRPr="008B0F6E" w:rsidRDefault="001D16E4" w:rsidP="001D16E4">
            <w:pPr>
              <w:numPr>
                <w:ilvl w:val="0"/>
                <w:numId w:val="52"/>
              </w:numPr>
              <w:spacing w:before="240" w:line="360" w:lineRule="auto"/>
              <w:rPr>
                <w:bCs/>
                <w:u w:val="single"/>
              </w:rPr>
            </w:pPr>
            <w:r w:rsidRPr="008B0F6E">
              <w:rPr>
                <w:bCs/>
              </w:rPr>
              <w:t>The CONSULTANT also agrees to include these requirements in each subagreement exceeding $100,000 financed in whole or in part with Federal assistance provided by FTA.</w:t>
            </w:r>
          </w:p>
        </w:tc>
      </w:tr>
      <w:tr w:rsidR="001D16E4" w:rsidRPr="008B0F6E" w14:paraId="2AEBB2DA" w14:textId="77777777" w:rsidTr="009137E2">
        <w:trPr>
          <w:gridAfter w:val="1"/>
          <w:wAfter w:w="10" w:type="dxa"/>
        </w:trPr>
        <w:tc>
          <w:tcPr>
            <w:tcW w:w="9350" w:type="dxa"/>
            <w:tcBorders>
              <w:top w:val="nil"/>
              <w:left w:val="nil"/>
              <w:bottom w:val="nil"/>
              <w:right w:val="nil"/>
            </w:tcBorders>
          </w:tcPr>
          <w:p w14:paraId="0ADEC953" w14:textId="77777777" w:rsidR="001D16E4" w:rsidRPr="008B0F6E" w:rsidRDefault="001D16E4" w:rsidP="009137E2">
            <w:pPr>
              <w:spacing w:before="240" w:line="360" w:lineRule="auto"/>
              <w:ind w:firstLine="720"/>
              <w:rPr>
                <w:bCs/>
                <w:u w:val="single"/>
              </w:rPr>
            </w:pPr>
            <w:r w:rsidRPr="008B0F6E">
              <w:rPr>
                <w:bCs/>
                <w:u w:val="single"/>
              </w:rPr>
              <w:t>Clean Water</w:t>
            </w:r>
          </w:p>
          <w:p w14:paraId="1FDE22DD" w14:textId="77777777" w:rsidR="001D16E4" w:rsidRPr="008B0F6E" w:rsidRDefault="001D16E4" w:rsidP="001D16E4">
            <w:pPr>
              <w:numPr>
                <w:ilvl w:val="0"/>
                <w:numId w:val="53"/>
              </w:numPr>
              <w:spacing w:before="240" w:line="360" w:lineRule="auto"/>
              <w:rPr>
                <w:bCs/>
              </w:rPr>
            </w:pPr>
            <w:r w:rsidRPr="008B0F6E">
              <w:rPr>
                <w:bCs/>
              </w:rPr>
              <w:t>The CONSULTANT agrees to comply with all applicable standards, orders or regulations issued pursuant to the Federal Water Pollution Control Act, as amended, 33 U.S.C. 1251 et seq. The CONSULTANT agrees to report each violation to the Awarding Agency and understands and agrees that the Awarding Agency will, in turn, report each violation as required to assure notification to FTA and the appropriate EPA Regional Office.</w:t>
            </w:r>
          </w:p>
          <w:p w14:paraId="27EC2F9F" w14:textId="77777777" w:rsidR="001D16E4" w:rsidRPr="008B0F6E" w:rsidRDefault="001D16E4" w:rsidP="001D16E4">
            <w:pPr>
              <w:numPr>
                <w:ilvl w:val="0"/>
                <w:numId w:val="53"/>
              </w:numPr>
              <w:spacing w:before="240" w:line="360" w:lineRule="auto"/>
              <w:rPr>
                <w:bCs/>
              </w:rPr>
            </w:pPr>
            <w:r w:rsidRPr="008B0F6E">
              <w:rPr>
                <w:bCs/>
              </w:rPr>
              <w:t>The CONSULTANT also agrees to include these requirements in each subagreement exceeding $100,000 financed in whole or in part with Federal assistance provided by FTA.</w:t>
            </w:r>
          </w:p>
        </w:tc>
      </w:tr>
    </w:tbl>
    <w:p w14:paraId="2F392D5A" w14:textId="77777777" w:rsidR="001D16E4" w:rsidRPr="008B0F6E" w:rsidRDefault="001D16E4" w:rsidP="001D16E4">
      <w:pPr>
        <w:spacing w:before="240" w:line="360" w:lineRule="auto"/>
        <w:ind w:firstLine="720"/>
        <w:rPr>
          <w:bCs/>
          <w:u w:val="single"/>
        </w:rPr>
      </w:pPr>
      <w:r w:rsidRPr="008B0F6E">
        <w:rPr>
          <w:bCs/>
          <w:u w:val="single"/>
        </w:rPr>
        <w:t>Patent Rights &amp; Rights in Data and Copyrights (Research or Data Development Only)</w:t>
      </w:r>
    </w:p>
    <w:p w14:paraId="3F8D90DA" w14:textId="77777777" w:rsidR="001D16E4" w:rsidRPr="008B0F6E" w:rsidRDefault="001D16E4" w:rsidP="001D16E4">
      <w:pPr>
        <w:spacing w:before="240" w:line="360" w:lineRule="auto"/>
        <w:ind w:firstLine="720"/>
        <w:rPr>
          <w:bCs/>
        </w:rPr>
      </w:pPr>
      <w:r w:rsidRPr="008B0F6E">
        <w:rPr>
          <w:bCs/>
        </w:rPr>
        <w:t xml:space="preserve">In accordance with 37 CFR Part 401, 49 CFR Parts 18 and 19, the CONSULTANT must comply with patent and rights in data requirements for federally assisted contracts involving experimental, developmental, or research work. The Awarding Agency reserves a royalty-free, </w:t>
      </w:r>
      <w:r w:rsidRPr="008B0F6E">
        <w:rPr>
          <w:bCs/>
        </w:rPr>
        <w:lastRenderedPageBreak/>
        <w:t>non-exclusive, and irrevocable right to reproduce, publish, or otherwise use the work for federal purposes and reserves the right to grant authority to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D16E4" w:rsidRPr="008B0F6E" w14:paraId="586ED62D" w14:textId="77777777" w:rsidTr="009137E2">
        <w:tc>
          <w:tcPr>
            <w:tcW w:w="9360" w:type="dxa"/>
          </w:tcPr>
          <w:p w14:paraId="34FAD167" w14:textId="77777777" w:rsidR="001D16E4" w:rsidRPr="008B0F6E" w:rsidRDefault="001D16E4" w:rsidP="009137E2">
            <w:pPr>
              <w:spacing w:before="240" w:line="360" w:lineRule="auto"/>
              <w:ind w:firstLine="720"/>
              <w:rPr>
                <w:bCs/>
                <w:u w:val="single"/>
              </w:rPr>
            </w:pPr>
            <w:r w:rsidRPr="008B0F6E">
              <w:rPr>
                <w:bCs/>
                <w:u w:val="single"/>
              </w:rPr>
              <w:t>Intelligent Transportation Systems (ITS) National Architecture</w:t>
            </w:r>
          </w:p>
          <w:p w14:paraId="15402241" w14:textId="77777777" w:rsidR="001D16E4" w:rsidRPr="008B0F6E" w:rsidRDefault="001D16E4" w:rsidP="009137E2">
            <w:pPr>
              <w:spacing w:before="240" w:line="360" w:lineRule="auto"/>
              <w:ind w:firstLine="720"/>
              <w:rPr>
                <w:bCs/>
                <w:u w:val="single"/>
              </w:rPr>
            </w:pPr>
            <w:r w:rsidRPr="008B0F6E">
              <w:rPr>
                <w:bCs/>
              </w:rPr>
              <w:t>To the extent applicable, the CONSULTANT agrees to conform to the National Intelligent Transportation System (ITS) Architecture and Standards as required by 23 U.S.C. Section 517(d), 23 U.S.C. Section 512 note, and 23 CFR Part 655 and 940, and follow the provisions of the FTA Notice, “FTA National ITS Architecture Policy on Transit projects,” 66 Fed. Reg. 1455 et seq., January 8, 2001, and any other implementing directives the FTA may issue at a later date, except to the extent the FTA determines otherwise in writing.</w:t>
            </w:r>
          </w:p>
        </w:tc>
      </w:tr>
      <w:tr w:rsidR="001D16E4" w:rsidRPr="008B0F6E" w14:paraId="51DAE016" w14:textId="77777777" w:rsidTr="009137E2">
        <w:tc>
          <w:tcPr>
            <w:tcW w:w="9360" w:type="dxa"/>
          </w:tcPr>
          <w:p w14:paraId="2F1B6FE3" w14:textId="77777777" w:rsidR="001D16E4" w:rsidRPr="008B0F6E" w:rsidRDefault="001D16E4" w:rsidP="009137E2">
            <w:pPr>
              <w:spacing w:before="240" w:line="360" w:lineRule="auto"/>
              <w:ind w:firstLine="720"/>
              <w:rPr>
                <w:bCs/>
                <w:u w:val="single"/>
              </w:rPr>
            </w:pPr>
            <w:r w:rsidRPr="008B0F6E">
              <w:rPr>
                <w:bCs/>
                <w:u w:val="single"/>
              </w:rPr>
              <w:t>Section 504 and Americans with Disabilities Act Program Requirements</w:t>
            </w:r>
          </w:p>
          <w:p w14:paraId="4AA034C0" w14:textId="77777777" w:rsidR="001D16E4" w:rsidRPr="008B0F6E" w:rsidRDefault="001D16E4" w:rsidP="009137E2">
            <w:pPr>
              <w:spacing w:before="240" w:line="360" w:lineRule="auto"/>
              <w:ind w:firstLine="720"/>
              <w:rPr>
                <w:bCs/>
              </w:rPr>
            </w:pPr>
            <w:r w:rsidRPr="008B0F6E">
              <w:rPr>
                <w:bCs/>
              </w:rPr>
              <w:t>The CONSULTANT will comply with 49 CFR Parts 27, 37, and 38, implementing and Americans with Disabilities Act and Section 504 of the Rehabilitation Act of 1973, 29 U.S.C. Section 794, as amended.</w:t>
            </w:r>
          </w:p>
          <w:p w14:paraId="7F14890E" w14:textId="77777777" w:rsidR="001D16E4" w:rsidRPr="008B0F6E" w:rsidRDefault="001D16E4" w:rsidP="009137E2">
            <w:pPr>
              <w:spacing w:before="240" w:line="360" w:lineRule="auto"/>
              <w:ind w:firstLine="720"/>
              <w:rPr>
                <w:bCs/>
              </w:rPr>
            </w:pPr>
          </w:p>
        </w:tc>
      </w:tr>
    </w:tbl>
    <w:p w14:paraId="54D38B86" w14:textId="77777777" w:rsidR="001D16E4" w:rsidRPr="008B0F6E" w:rsidRDefault="001D16E4" w:rsidP="001D16E4">
      <w:pPr>
        <w:rPr>
          <w:bCs/>
        </w:rPr>
      </w:pPr>
      <w:r w:rsidRPr="008B0F6E">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D16E4" w:rsidRPr="008B0F6E" w14:paraId="18000702" w14:textId="77777777" w:rsidTr="009137E2">
        <w:tc>
          <w:tcPr>
            <w:tcW w:w="9360" w:type="dxa"/>
          </w:tcPr>
          <w:p w14:paraId="529C8439" w14:textId="77777777" w:rsidR="001D16E4" w:rsidRPr="008B0F6E" w:rsidRDefault="001D16E4" w:rsidP="009137E2">
            <w:pPr>
              <w:spacing w:before="240" w:line="360" w:lineRule="auto"/>
              <w:ind w:firstLine="720"/>
              <w:rPr>
                <w:bCs/>
                <w:u w:val="single"/>
              </w:rPr>
            </w:pPr>
            <w:r w:rsidRPr="008B0F6E">
              <w:rPr>
                <w:bCs/>
                <w:u w:val="single"/>
              </w:rPr>
              <w:lastRenderedPageBreak/>
              <w:t>DBE Contract Assurance</w:t>
            </w:r>
          </w:p>
          <w:p w14:paraId="598951CD" w14:textId="77777777" w:rsidR="001D16E4" w:rsidRPr="008B0F6E" w:rsidRDefault="001D16E4" w:rsidP="009137E2">
            <w:pPr>
              <w:spacing w:before="240" w:line="360" w:lineRule="auto"/>
              <w:ind w:firstLine="720"/>
              <w:rPr>
                <w:bCs/>
              </w:rPr>
            </w:pPr>
            <w:r w:rsidRPr="008B0F6E">
              <w:rPr>
                <w:bCs/>
              </w:rPr>
              <w:t xml:space="preserve">The CONSULTAN or </w:t>
            </w:r>
            <w:r>
              <w:rPr>
                <w:bCs/>
              </w:rPr>
              <w:t>SUBCONSULTANT</w:t>
            </w:r>
            <w:r w:rsidRPr="008B0F6E">
              <w:rPr>
                <w:bCs/>
              </w:rPr>
              <w:t xml:space="preserve"> shall not discriminate on the basis of race, color, national origin, or sex in the performance of this contract. The CONSULTANT or </w:t>
            </w:r>
            <w:r>
              <w:rPr>
                <w:bCs/>
              </w:rPr>
              <w:t>subconsultant</w:t>
            </w:r>
            <w:r w:rsidRPr="008B0F6E">
              <w:rPr>
                <w:bCs/>
              </w:rPr>
              <w:t xml:space="preserve"> shall carry out applicable requirement of 49 CFR Part 26 in the award and administration of [Federal] DOT-assisted contracts. Failure by the CONSULTANT or </w:t>
            </w:r>
            <w:r>
              <w:rPr>
                <w:bCs/>
              </w:rPr>
              <w:t>subconsultant</w:t>
            </w:r>
            <w:r w:rsidRPr="008B0F6E">
              <w:rPr>
                <w:bCs/>
              </w:rPr>
              <w:t xml:space="preserve"> to carry out these requirements is a material breach of this contract, which may result in the termination of the Standard Agreement between the STATE and the Awarding Agency, the termination of this contract by the Awarding Agency, or such other remedy the STATE or Awarding Agency deems appropriate, which may include, but is not limited to:</w:t>
            </w:r>
          </w:p>
          <w:p w14:paraId="0414102D" w14:textId="77777777" w:rsidR="001D16E4" w:rsidRPr="008B0F6E" w:rsidRDefault="001D16E4" w:rsidP="001D16E4">
            <w:pPr>
              <w:numPr>
                <w:ilvl w:val="0"/>
                <w:numId w:val="55"/>
              </w:numPr>
              <w:spacing w:before="240" w:line="360" w:lineRule="auto"/>
              <w:rPr>
                <w:bCs/>
              </w:rPr>
            </w:pPr>
            <w:r w:rsidRPr="008B0F6E">
              <w:rPr>
                <w:bCs/>
              </w:rPr>
              <w:t>Withholding monthly progress payments;</w:t>
            </w:r>
          </w:p>
          <w:p w14:paraId="10BD34A4" w14:textId="77777777" w:rsidR="001D16E4" w:rsidRPr="008B0F6E" w:rsidRDefault="001D16E4" w:rsidP="001D16E4">
            <w:pPr>
              <w:numPr>
                <w:ilvl w:val="0"/>
                <w:numId w:val="55"/>
              </w:numPr>
              <w:spacing w:before="240" w:line="360" w:lineRule="auto"/>
              <w:rPr>
                <w:bCs/>
              </w:rPr>
            </w:pPr>
            <w:r w:rsidRPr="008B0F6E">
              <w:rPr>
                <w:bCs/>
              </w:rPr>
              <w:t>Assessing sanctions;</w:t>
            </w:r>
          </w:p>
          <w:p w14:paraId="45992416" w14:textId="77777777" w:rsidR="001D16E4" w:rsidRPr="008B0F6E" w:rsidRDefault="001D16E4" w:rsidP="001D16E4">
            <w:pPr>
              <w:numPr>
                <w:ilvl w:val="0"/>
                <w:numId w:val="55"/>
              </w:numPr>
              <w:spacing w:before="240" w:line="360" w:lineRule="auto"/>
              <w:rPr>
                <w:bCs/>
              </w:rPr>
            </w:pPr>
            <w:r w:rsidRPr="008B0F6E">
              <w:rPr>
                <w:bCs/>
              </w:rPr>
              <w:t>Liquidated damages; and/or</w:t>
            </w:r>
          </w:p>
          <w:p w14:paraId="1F0A35CA" w14:textId="77777777" w:rsidR="001D16E4" w:rsidRPr="008B0F6E" w:rsidRDefault="001D16E4" w:rsidP="001D16E4">
            <w:pPr>
              <w:numPr>
                <w:ilvl w:val="0"/>
                <w:numId w:val="55"/>
              </w:numPr>
              <w:spacing w:before="240" w:line="360" w:lineRule="auto"/>
              <w:rPr>
                <w:bCs/>
              </w:rPr>
            </w:pPr>
            <w:r w:rsidRPr="008B0F6E">
              <w:rPr>
                <w:bCs/>
              </w:rPr>
              <w:t>Disqualifying the CONSULTANT from future bidding as non-responsive.</w:t>
            </w:r>
          </w:p>
          <w:p w14:paraId="65BE3908" w14:textId="77777777" w:rsidR="001D16E4" w:rsidRPr="008B0F6E" w:rsidRDefault="001D16E4" w:rsidP="009137E2">
            <w:pPr>
              <w:spacing w:before="240" w:line="360" w:lineRule="auto"/>
              <w:ind w:firstLine="720"/>
              <w:rPr>
                <w:bCs/>
              </w:rPr>
            </w:pPr>
            <w:r w:rsidRPr="008B0F6E">
              <w:rPr>
                <w:bCs/>
              </w:rPr>
              <w:t xml:space="preserve">Awarding Agency shall notify the CALTRANS DBELO in the event the Awarding Agency finds the CONSULTANT or </w:t>
            </w:r>
            <w:r>
              <w:rPr>
                <w:bCs/>
              </w:rPr>
              <w:t>SUBCONSULTANT</w:t>
            </w:r>
            <w:r w:rsidRPr="008B0F6E">
              <w:rPr>
                <w:bCs/>
              </w:rPr>
              <w:t xml:space="preserve"> is in violation of 49 CFR Part 26 within five (5) business days the finding is made.</w:t>
            </w:r>
          </w:p>
          <w:p w14:paraId="4D9EE004" w14:textId="77777777" w:rsidR="001D16E4" w:rsidRPr="008B0F6E" w:rsidRDefault="001D16E4" w:rsidP="009137E2">
            <w:pPr>
              <w:spacing w:before="240" w:line="360" w:lineRule="auto"/>
              <w:ind w:firstLine="720"/>
              <w:rPr>
                <w:bCs/>
                <w:u w:val="single"/>
              </w:rPr>
            </w:pPr>
            <w:r w:rsidRPr="008B0F6E">
              <w:rPr>
                <w:bCs/>
                <w:u w:val="single"/>
              </w:rPr>
              <w:t>DBE Participation Goal</w:t>
            </w:r>
          </w:p>
          <w:p w14:paraId="15BF111E" w14:textId="77777777" w:rsidR="00F92063" w:rsidRPr="00F92063" w:rsidRDefault="00F92063" w:rsidP="00F92063">
            <w:pPr>
              <w:spacing w:before="240" w:line="360" w:lineRule="auto"/>
              <w:ind w:firstLine="720"/>
              <w:rPr>
                <w:bCs/>
              </w:rPr>
            </w:pPr>
            <w:r w:rsidRPr="00F92063">
              <w:rPr>
                <w:bCs/>
              </w:rPr>
              <w:t>This contract is federally funded under the FHWA Safe Streets and Roads for All (SS4A) program and is subject to 49 CFR Part 26.</w:t>
            </w:r>
          </w:p>
          <w:p w14:paraId="5E0068F7" w14:textId="77777777" w:rsidR="00F92063" w:rsidRPr="00F92063" w:rsidRDefault="00F92063" w:rsidP="00F92063">
            <w:pPr>
              <w:spacing w:before="240" w:line="360" w:lineRule="auto"/>
              <w:ind w:firstLine="720"/>
              <w:rPr>
                <w:bCs/>
              </w:rPr>
            </w:pPr>
            <w:r w:rsidRPr="00F92063">
              <w:rPr>
                <w:bCs/>
              </w:rPr>
              <w:t xml:space="preserve">Pursuant to the USDOT Interim Final Rule (October 3, 2025) and Caltrans DLA Office Bulletin #25-07R, </w:t>
            </w:r>
            <w:r w:rsidRPr="00F92063">
              <w:rPr>
                <w:b/>
                <w:bCs/>
              </w:rPr>
              <w:t>no DBE contract goal is established at this time</w:t>
            </w:r>
            <w:r w:rsidRPr="00F92063">
              <w:rPr>
                <w:bCs/>
              </w:rPr>
              <w:t xml:space="preserve"> and DBE participation will not be counted toward any goal during the period of suspension. CONSULTANT shall comply with all non-suspended provisions of 49 CFR Part 26, including Contract Assurance (§ 26.13), Prompt Payment (§ 26.29), and Termination (§ 26.53(f)).</w:t>
            </w:r>
          </w:p>
          <w:p w14:paraId="50C7A6FE" w14:textId="77777777" w:rsidR="00F92063" w:rsidRPr="00F92063" w:rsidRDefault="00F92063" w:rsidP="00F92063">
            <w:pPr>
              <w:spacing w:before="240" w:line="360" w:lineRule="auto"/>
              <w:ind w:firstLine="720"/>
              <w:rPr>
                <w:bCs/>
              </w:rPr>
            </w:pPr>
            <w:r w:rsidRPr="00F92063">
              <w:rPr>
                <w:bCs/>
              </w:rPr>
              <w:lastRenderedPageBreak/>
              <w:t>The Commission reserves the right to amend this Agreement to incorporate a DBE contract goal if the suspension is rescinded or modified during the term of the Agreement.</w:t>
            </w:r>
          </w:p>
          <w:p w14:paraId="4C24CAAB" w14:textId="2F4A6DB9" w:rsidR="001D16E4" w:rsidRPr="008B0F6E" w:rsidRDefault="001D16E4" w:rsidP="009137E2">
            <w:pPr>
              <w:spacing w:before="240" w:line="360" w:lineRule="auto"/>
              <w:ind w:firstLine="720"/>
              <w:rPr>
                <w:bCs/>
              </w:rPr>
            </w:pPr>
            <w:r w:rsidRPr="008B0F6E">
              <w:rPr>
                <w:bCs/>
              </w:rPr>
              <w:t xml:space="preserve">Offerors </w:t>
            </w:r>
            <w:r w:rsidR="00115B5E">
              <w:rPr>
                <w:bCs/>
              </w:rPr>
              <w:t>are</w:t>
            </w:r>
            <w:r w:rsidRPr="008B0F6E">
              <w:rPr>
                <w:bCs/>
              </w:rPr>
              <w:t xml:space="preserve"> required to document sufficient DBE participation to meet the contract goals or, alternatively, document adequate good faith efforts to do so, as provided for in 49 CFR 26.53 (3)(i)(A). Award of this contract is conditioned on submission of the following:</w:t>
            </w:r>
          </w:p>
          <w:p w14:paraId="3A7FCE40" w14:textId="77777777" w:rsidR="001D16E4" w:rsidRPr="008B0F6E" w:rsidRDefault="001D16E4" w:rsidP="001D16E4">
            <w:pPr>
              <w:numPr>
                <w:ilvl w:val="0"/>
                <w:numId w:val="56"/>
              </w:numPr>
              <w:spacing w:before="240" w:line="360" w:lineRule="auto"/>
              <w:rPr>
                <w:bCs/>
              </w:rPr>
            </w:pPr>
            <w:r w:rsidRPr="008B0F6E">
              <w:rPr>
                <w:bCs/>
              </w:rPr>
              <w:t>If the offer meets the DBE contract goal the offeror must include with the offer a completed ADM-0227F form.</w:t>
            </w:r>
          </w:p>
          <w:p w14:paraId="541835B4" w14:textId="77777777" w:rsidR="001D16E4" w:rsidRPr="008B0F6E" w:rsidRDefault="001D16E4" w:rsidP="001D16E4">
            <w:pPr>
              <w:numPr>
                <w:ilvl w:val="0"/>
                <w:numId w:val="56"/>
              </w:numPr>
              <w:spacing w:before="240" w:line="360" w:lineRule="auto"/>
              <w:rPr>
                <w:bCs/>
              </w:rPr>
            </w:pPr>
            <w:r w:rsidRPr="008B0F6E">
              <w:rPr>
                <w:bCs/>
              </w:rPr>
              <w:t>If the offer cannot meet the DBE contract goal the offeror must include with the offer a completed ADM-0312F form that documents the offeror’s good faith efforts (GFE) and ADM-0227F form. The Awarding Agency must document concurrence with the offeror’s GFE and provide a copy of the GFE to Caltrans DRMT Compliance Liaison for additional concurrence prior to contract award.</w:t>
            </w:r>
          </w:p>
          <w:p w14:paraId="3FD12D08" w14:textId="77777777" w:rsidR="001D16E4" w:rsidRPr="008B0F6E" w:rsidRDefault="001D16E4" w:rsidP="009137E2">
            <w:pPr>
              <w:spacing w:before="240" w:line="360" w:lineRule="auto"/>
              <w:ind w:firstLine="720"/>
              <w:rPr>
                <w:bCs/>
              </w:rPr>
            </w:pPr>
            <w:r w:rsidRPr="008B0F6E">
              <w:rPr>
                <w:bCs/>
              </w:rPr>
              <w:t xml:space="preserve">The CONSULTANT shall not terminate the DBE </w:t>
            </w:r>
            <w:r>
              <w:rPr>
                <w:bCs/>
              </w:rPr>
              <w:t>subconsultant’</w:t>
            </w:r>
            <w:r w:rsidRPr="008B0F6E">
              <w:rPr>
                <w:bCs/>
              </w:rPr>
              <w:t xml:space="preserve">s listed on ADM-0227F without the Awarding Agency’s prior written consent and concurrence from the CALTRANS DBELO. The Awarding Agency may provide such written consent only if the CONSULTANT has good cause to terminate the DBE firm. Before transmitting a request to terminate, the CONSULTANT shall give notice in writing to the DBE </w:t>
            </w:r>
            <w:r>
              <w:rPr>
                <w:bCs/>
              </w:rPr>
              <w:t>subconsultant</w:t>
            </w:r>
            <w:r w:rsidRPr="008B0F6E">
              <w:rPr>
                <w:bCs/>
              </w:rPr>
              <w:t xml:space="preserve"> of its intent to terminate and the reason for the request. The CONSULTANT shall give the DBE five (5) days to respond to the notice and advise of the reasons why it objects to the proposed termination. When a DBE </w:t>
            </w:r>
            <w:r>
              <w:rPr>
                <w:bCs/>
              </w:rPr>
              <w:t>subconsultant</w:t>
            </w:r>
            <w:r w:rsidRPr="008B0F6E">
              <w:rPr>
                <w:bCs/>
              </w:rPr>
              <w:t xml:space="preserve"> is terminated or fails to complete its work on the contract for any reason, the CONSULTANT shall make good faith efforts (GFE) to find another DBE </w:t>
            </w:r>
            <w:r>
              <w:rPr>
                <w:bCs/>
              </w:rPr>
              <w:t xml:space="preserve">subconsultant </w:t>
            </w:r>
            <w:r w:rsidRPr="008B0F6E">
              <w:rPr>
                <w:bCs/>
              </w:rPr>
              <w:t>to substitute for the original DBE and immediately notify the Awarding Agency in writing of its efforts to replace the original DBE. These good faith efforts shall be directed at finding another DBE to perform at least the same amount of work under the Contract as the DBE that was terminated, to the extent needed to meet the Contract goal established for this procurement.</w:t>
            </w:r>
          </w:p>
          <w:p w14:paraId="56B9624C" w14:textId="77777777" w:rsidR="001D16E4" w:rsidRPr="008B0F6E" w:rsidRDefault="001D16E4" w:rsidP="009137E2">
            <w:pPr>
              <w:spacing w:before="240" w:line="360" w:lineRule="auto"/>
              <w:ind w:firstLine="720"/>
              <w:rPr>
                <w:bCs/>
                <w:u w:val="single"/>
              </w:rPr>
            </w:pPr>
            <w:bookmarkStart w:id="4" w:name="_Hlk532471915"/>
            <w:r w:rsidRPr="008B0F6E">
              <w:rPr>
                <w:bCs/>
                <w:u w:val="single"/>
              </w:rPr>
              <w:t>Continued Compliance</w:t>
            </w:r>
          </w:p>
          <w:p w14:paraId="20FCE803" w14:textId="4C9D082A" w:rsidR="001D16E4" w:rsidRPr="008B0F6E" w:rsidRDefault="001D16E4" w:rsidP="009137E2">
            <w:pPr>
              <w:spacing w:before="240" w:line="360" w:lineRule="auto"/>
              <w:ind w:firstLine="720"/>
              <w:rPr>
                <w:bCs/>
              </w:rPr>
            </w:pPr>
            <w:r w:rsidRPr="008B0F6E">
              <w:rPr>
                <w:bCs/>
              </w:rPr>
              <w:lastRenderedPageBreak/>
              <w:t xml:space="preserve">The Awarding Agency </w:t>
            </w:r>
            <w:r w:rsidR="0047285B">
              <w:rPr>
                <w:bCs/>
              </w:rPr>
              <w:t>will</w:t>
            </w:r>
            <w:r>
              <w:rPr>
                <w:bCs/>
              </w:rPr>
              <w:t xml:space="preserve"> be required upon award of federal funding to </w:t>
            </w:r>
            <w:r w:rsidRPr="008B0F6E">
              <w:rPr>
                <w:bCs/>
              </w:rPr>
              <w:t>monitor the CONSULTANT’s DBE compliance during the life of this contract and submit to the STATE a completed ADM-0369 form in each their request for reimbursement (RFR) packet.</w:t>
            </w:r>
            <w:bookmarkEnd w:id="4"/>
          </w:p>
          <w:p w14:paraId="215D6BDF" w14:textId="77777777" w:rsidR="001D16E4" w:rsidRPr="008B0F6E" w:rsidRDefault="001D16E4" w:rsidP="009137E2">
            <w:pPr>
              <w:spacing w:before="240" w:line="360" w:lineRule="auto"/>
              <w:ind w:firstLine="720"/>
              <w:rPr>
                <w:bCs/>
              </w:rPr>
            </w:pPr>
          </w:p>
        </w:tc>
      </w:tr>
    </w:tbl>
    <w:p w14:paraId="541985A8" w14:textId="77777777" w:rsidR="001D16E4" w:rsidRDefault="001D16E4" w:rsidP="001D16E4"/>
    <w:p w14:paraId="72296521" w14:textId="2BFEC729" w:rsidR="001D16E4" w:rsidRDefault="001D16E4" w:rsidP="001D16E4">
      <w:pPr>
        <w:spacing w:before="240" w:line="360" w:lineRule="auto"/>
        <w:ind w:firstLine="720"/>
      </w:pPr>
      <w:r>
        <w:rPr>
          <w:b/>
        </w:rPr>
        <w:t>IN WITNESS WHEREOF</w:t>
      </w:r>
      <w:r>
        <w:t xml:space="preserve">, </w:t>
      </w:r>
      <w:r w:rsidR="00CD365C">
        <w:t>Commission</w:t>
      </w:r>
      <w:r>
        <w:t xml:space="preserve"> and CONSULTANT have executed this agreement on the day and year set forth below upon signature </w:t>
      </w:r>
      <w:r w:rsidR="00F92063">
        <w:t xml:space="preserve">by the </w:t>
      </w:r>
      <w:r w:rsidR="00F92063" w:rsidRPr="00F92063">
        <w:rPr>
          <w:b/>
          <w:bCs/>
        </w:rPr>
        <w:t>Executive Director of the Tehama County Transportation Commission.</w:t>
      </w:r>
    </w:p>
    <w:p w14:paraId="3919A0CB" w14:textId="1CEFDD85" w:rsidR="001D16E4" w:rsidRDefault="001D16E4" w:rsidP="001D16E4">
      <w:pPr>
        <w:spacing w:line="480" w:lineRule="auto"/>
        <w:rPr>
          <w:b/>
        </w:rPr>
      </w:pPr>
      <w:r>
        <w:tab/>
      </w:r>
      <w:r>
        <w:tab/>
      </w:r>
      <w:r>
        <w:tab/>
      </w:r>
      <w:r>
        <w:tab/>
      </w:r>
      <w:r>
        <w:tab/>
      </w:r>
      <w:r>
        <w:tab/>
      </w:r>
      <w:r w:rsidR="00CD365C">
        <w:rPr>
          <w:b/>
        </w:rPr>
        <w:t>Commission</w:t>
      </w:r>
      <w:r>
        <w:rPr>
          <w:b/>
        </w:rPr>
        <w:t xml:space="preserve"> OF </w:t>
      </w:r>
      <w:smartTag w:uri="urn:schemas-microsoft-com:office:smarttags" w:element="PlaceName">
        <w:r>
          <w:rPr>
            <w:b/>
          </w:rPr>
          <w:t>TEHAMA</w:t>
        </w:r>
      </w:smartTag>
    </w:p>
    <w:p w14:paraId="273A64B0" w14:textId="77777777" w:rsidR="001D16E4" w:rsidRPr="00CE0CAE" w:rsidRDefault="001D16E4" w:rsidP="001D16E4">
      <w:pPr>
        <w:rPr>
          <w:u w:val="single"/>
        </w:rPr>
      </w:pPr>
      <w:r>
        <w:t xml:space="preserve">Date: </w:t>
      </w:r>
      <w:r>
        <w:rPr>
          <w:u w:val="single"/>
        </w:rPr>
        <w:tab/>
      </w:r>
      <w:r>
        <w:rPr>
          <w:u w:val="single"/>
        </w:rPr>
        <w:tab/>
      </w:r>
      <w:r>
        <w:rPr>
          <w:u w:val="single"/>
        </w:rPr>
        <w:tab/>
      </w:r>
      <w:r>
        <w:rPr>
          <w:u w:val="single"/>
        </w:rPr>
        <w:tab/>
      </w:r>
      <w:r>
        <w:rPr>
          <w:u w:val="single"/>
        </w:rPr>
        <w:tab/>
      </w:r>
      <w:r>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p>
    <w:p w14:paraId="06357EB8" w14:textId="77777777" w:rsidR="001D16E4" w:rsidRDefault="001D16E4" w:rsidP="001D16E4">
      <w:pPr>
        <w:ind w:left="3600" w:firstLine="720"/>
      </w:pPr>
      <w:r>
        <w:t>--------------------</w:t>
      </w:r>
    </w:p>
    <w:p w14:paraId="4D4B16F5" w14:textId="77777777" w:rsidR="001D16E4" w:rsidRDefault="001D16E4" w:rsidP="001D16E4"/>
    <w:p w14:paraId="54BCA518" w14:textId="77777777" w:rsidR="001D16E4" w:rsidRPr="00F800BB" w:rsidRDefault="001D16E4" w:rsidP="001D16E4">
      <w:pPr>
        <w:ind w:left="3600" w:firstLine="720"/>
        <w:rPr>
          <w:b/>
        </w:rPr>
      </w:pPr>
      <w:r w:rsidRPr="00F800BB">
        <w:rPr>
          <w:b/>
        </w:rPr>
        <w:t>--------------------</w:t>
      </w:r>
      <w:r>
        <w:rPr>
          <w:b/>
        </w:rPr>
        <w:t xml:space="preserve"> (Bold &amp; Capital letters)</w:t>
      </w:r>
    </w:p>
    <w:p w14:paraId="64167FBB" w14:textId="77777777" w:rsidR="001D16E4" w:rsidRDefault="001D16E4" w:rsidP="001D16E4"/>
    <w:p w14:paraId="4E2F05FE" w14:textId="77777777" w:rsidR="001D16E4" w:rsidRPr="00CE0CAE" w:rsidRDefault="001D16E4" w:rsidP="001D16E4">
      <w:pPr>
        <w:rPr>
          <w:u w:val="single"/>
        </w:rPr>
      </w:pPr>
      <w:r>
        <w:t xml:space="preserve">Date: </w:t>
      </w:r>
      <w:r>
        <w:rPr>
          <w:u w:val="single"/>
        </w:rPr>
        <w:tab/>
      </w:r>
      <w:r>
        <w:rPr>
          <w:u w:val="single"/>
        </w:rPr>
        <w:tab/>
      </w:r>
      <w:r>
        <w:rPr>
          <w:u w:val="single"/>
        </w:rPr>
        <w:tab/>
      </w:r>
      <w:r>
        <w:rPr>
          <w:u w:val="single"/>
        </w:rPr>
        <w:tab/>
      </w:r>
      <w:r>
        <w:rPr>
          <w:u w:val="single"/>
        </w:rPr>
        <w:tab/>
      </w:r>
      <w:r>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p>
    <w:p w14:paraId="7D05D20A" w14:textId="77777777" w:rsidR="001D16E4" w:rsidRDefault="001D16E4" w:rsidP="001D16E4">
      <w:pPr>
        <w:ind w:left="3600" w:firstLine="720"/>
      </w:pPr>
      <w:r>
        <w:t>--------------------</w:t>
      </w:r>
    </w:p>
    <w:p w14:paraId="6357B1A2" w14:textId="77777777" w:rsidR="001D16E4" w:rsidRPr="0002485A" w:rsidRDefault="001D16E4" w:rsidP="001D16E4">
      <w:pPr>
        <w:jc w:val="right"/>
      </w:pPr>
      <w:r w:rsidRPr="0002485A">
        <w:rPr>
          <w:u w:val="single"/>
        </w:rPr>
        <w:t>-----------</w:t>
      </w:r>
      <w:r>
        <w:rPr>
          <w:u w:val="single"/>
        </w:rPr>
        <w:t>--------</w:t>
      </w:r>
    </w:p>
    <w:p w14:paraId="36467230" w14:textId="77777777" w:rsidR="001D16E4" w:rsidRDefault="001D16E4" w:rsidP="001D16E4">
      <w:pPr>
        <w:jc w:val="right"/>
      </w:pPr>
      <w:r w:rsidRPr="0002485A">
        <w:t>Vendor Number</w:t>
      </w:r>
    </w:p>
    <w:p w14:paraId="47976937" w14:textId="77777777" w:rsidR="001D16E4" w:rsidRDefault="001D16E4" w:rsidP="001D16E4">
      <w:pPr>
        <w:tabs>
          <w:tab w:val="left" w:pos="5805"/>
        </w:tabs>
      </w:pPr>
      <w:r>
        <w:t xml:space="preserve">Approved as to form by </w:t>
      </w:r>
      <w:r>
        <w:tab/>
      </w:r>
    </w:p>
    <w:p w14:paraId="16AC2B4A" w14:textId="65AE34AA" w:rsidR="001D16E4" w:rsidRDefault="001D16E4" w:rsidP="001D16E4">
      <w:pPr>
        <w:spacing w:line="480" w:lineRule="auto"/>
      </w:pPr>
      <w:r w:rsidRPr="00BF6172">
        <w:t xml:space="preserve">Tehama </w:t>
      </w:r>
      <w:r w:rsidR="00CD365C" w:rsidRPr="00BF6172">
        <w:t>Co</w:t>
      </w:r>
      <w:r w:rsidR="0047285B" w:rsidRPr="00BF6172">
        <w:t>unty</w:t>
      </w:r>
      <w:r w:rsidR="0047285B">
        <w:t xml:space="preserve"> </w:t>
      </w:r>
      <w:r>
        <w:t>Counsel</w:t>
      </w:r>
    </w:p>
    <w:p w14:paraId="66057439" w14:textId="77777777" w:rsidR="001D16E4" w:rsidRPr="00703926" w:rsidRDefault="001D16E4" w:rsidP="001D16E4">
      <w:r>
        <w:rPr>
          <w:u w:val="single"/>
        </w:rPr>
        <w:tab/>
      </w:r>
      <w:r>
        <w:rPr>
          <w:u w:val="single"/>
        </w:rPr>
        <w:tab/>
      </w:r>
      <w:r>
        <w:rPr>
          <w:u w:val="single"/>
        </w:rPr>
        <w:tab/>
      </w:r>
      <w:r>
        <w:rPr>
          <w:u w:val="single"/>
        </w:rPr>
        <w:tab/>
      </w:r>
      <w:r>
        <w:rPr>
          <w:u w:val="single"/>
        </w:rPr>
        <w:tab/>
      </w:r>
      <w:r>
        <w:rPr>
          <w:u w:val="single"/>
        </w:rPr>
        <w:tab/>
      </w:r>
      <w:r>
        <w:rPr>
          <w:u w:val="single"/>
        </w:rPr>
        <w:tab/>
      </w:r>
    </w:p>
    <w:p w14:paraId="7A488D57" w14:textId="77777777" w:rsidR="001D16E4" w:rsidRDefault="001D16E4" w:rsidP="001D16E4">
      <w:r>
        <w:t xml:space="preserve">By:  -------------------- </w:t>
      </w:r>
    </w:p>
    <w:p w14:paraId="4C632C41" w14:textId="77777777" w:rsidR="001D16E4" w:rsidRDefault="001D16E4" w:rsidP="001D16E4"/>
    <w:p w14:paraId="13A597F3" w14:textId="77777777" w:rsidR="001D16E4" w:rsidRDefault="001D16E4" w:rsidP="001D16E4"/>
    <w:p w14:paraId="52C3130D" w14:textId="77777777" w:rsidR="001D16E4" w:rsidRPr="006515E8" w:rsidRDefault="001D16E4" w:rsidP="001D16E4">
      <w:pPr>
        <w:sectPr w:rsidR="001D16E4" w:rsidRPr="006515E8" w:rsidSect="00F30774">
          <w:headerReference w:type="default" r:id="rId21"/>
          <w:footerReference w:type="default" r:id="rId22"/>
          <w:pgSz w:w="12240" w:h="15840" w:code="1"/>
          <w:pgMar w:top="1440" w:right="1440" w:bottom="1440" w:left="1440" w:header="720" w:footer="720" w:gutter="0"/>
          <w:pgNumType w:chapStyle="1"/>
          <w:cols w:space="720"/>
          <w:docGrid w:linePitch="360"/>
        </w:sectPr>
      </w:pPr>
      <w:r>
        <w:t>Standard Form of Agreement – Services  updated 12/04/2020</w:t>
      </w:r>
    </w:p>
    <w:p w14:paraId="20BEC865" w14:textId="77777777" w:rsidR="001D16E4" w:rsidRPr="004A6C2B" w:rsidRDefault="001D16E4" w:rsidP="001D16E4">
      <w:pPr>
        <w:spacing w:line="480" w:lineRule="auto"/>
        <w:jc w:val="center"/>
        <w:outlineLvl w:val="0"/>
        <w:rPr>
          <w:u w:val="single"/>
        </w:rPr>
      </w:pPr>
      <w:r w:rsidRPr="004A6C2B">
        <w:rPr>
          <w:u w:val="single"/>
        </w:rPr>
        <w:lastRenderedPageBreak/>
        <w:t>Exhibit A</w:t>
      </w:r>
    </w:p>
    <w:p w14:paraId="521A8908" w14:textId="77777777" w:rsidR="001D16E4" w:rsidRPr="00675CE9" w:rsidRDefault="001D16E4" w:rsidP="001D16E4">
      <w:pPr>
        <w:spacing w:line="360" w:lineRule="auto"/>
        <w:jc w:val="center"/>
        <w:outlineLvl w:val="0"/>
        <w:rPr>
          <w:b/>
          <w:u w:val="single"/>
        </w:rPr>
      </w:pPr>
      <w:r w:rsidRPr="00675CE9">
        <w:rPr>
          <w:b/>
          <w:u w:val="single"/>
        </w:rPr>
        <w:t xml:space="preserve">INSURANCE REQUIREMENTS FOR </w:t>
      </w:r>
      <w:r>
        <w:rPr>
          <w:b/>
          <w:u w:val="single"/>
        </w:rPr>
        <w:t>CONSULTANT</w:t>
      </w:r>
    </w:p>
    <w:p w14:paraId="5F07D68A" w14:textId="77777777" w:rsidR="001D16E4" w:rsidRDefault="001D16E4" w:rsidP="001D16E4">
      <w:pPr>
        <w:spacing w:line="360" w:lineRule="auto"/>
      </w:pPr>
    </w:p>
    <w:p w14:paraId="4ABE55C8" w14:textId="77777777" w:rsidR="001D16E4" w:rsidRDefault="001D16E4" w:rsidP="001D16E4">
      <w:pPr>
        <w:spacing w:line="360" w:lineRule="auto"/>
        <w:jc w:val="both"/>
      </w:pPr>
      <w:r>
        <w:t xml:space="preserve">CONSULTANT shall procure and maintain, for the duration of the contract, insurance against claims for injuries to persons or damages to property which may arise from or in connection with the performance of the work described herein and the results of that work by CONSULTANT, his/her agents, representatives, employees or </w:t>
      </w:r>
      <w:r>
        <w:rPr>
          <w:bCs/>
        </w:rPr>
        <w:t>subconsultant</w:t>
      </w:r>
      <w:r>
        <w:t>s.  At a minimum, CONSULTANT shall maintain the insurance coverage, limits of coverage and other insurance requirements as described below.</w:t>
      </w:r>
    </w:p>
    <w:p w14:paraId="02EDB7D8" w14:textId="77777777" w:rsidR="001D16E4" w:rsidRDefault="001D16E4" w:rsidP="001D16E4">
      <w:pPr>
        <w:spacing w:line="360" w:lineRule="auto"/>
        <w:jc w:val="both"/>
      </w:pPr>
    </w:p>
    <w:p w14:paraId="74B2994E" w14:textId="77777777" w:rsidR="001D16E4" w:rsidRPr="0002200C" w:rsidRDefault="001D16E4" w:rsidP="001D16E4">
      <w:pPr>
        <w:spacing w:line="360" w:lineRule="auto"/>
        <w:ind w:left="360"/>
        <w:jc w:val="both"/>
      </w:pPr>
      <w:r w:rsidRPr="0002200C">
        <w:rPr>
          <w:u w:val="single"/>
        </w:rPr>
        <w:t>Commercial General Liability</w:t>
      </w:r>
      <w:r w:rsidRPr="0002200C">
        <w:t xml:space="preserve"> (including operations, products and completed operations)</w:t>
      </w:r>
    </w:p>
    <w:p w14:paraId="02B03C41" w14:textId="77777777" w:rsidR="001D16E4" w:rsidRPr="0002200C" w:rsidRDefault="001D16E4" w:rsidP="001D16E4">
      <w:pPr>
        <w:spacing w:line="360" w:lineRule="auto"/>
        <w:ind w:left="360"/>
        <w:jc w:val="both"/>
      </w:pPr>
      <w:r w:rsidRPr="0002200C">
        <w:t>$1,000,000 per occurrence for bodily injury, personal injury and property damage.  If coverage is subject to an aggregate limit, that aggregate limit will be twice the occurrence limit, or the general aggregate limit shall apply separately to this project/location.</w:t>
      </w:r>
    </w:p>
    <w:p w14:paraId="3E0437D8" w14:textId="77777777" w:rsidR="001D16E4" w:rsidRPr="0002200C" w:rsidRDefault="001D16E4" w:rsidP="001D16E4">
      <w:pPr>
        <w:spacing w:line="360" w:lineRule="auto"/>
        <w:ind w:left="360"/>
        <w:jc w:val="both"/>
      </w:pPr>
    </w:p>
    <w:p w14:paraId="42DF3615" w14:textId="77777777" w:rsidR="001D16E4" w:rsidRPr="0002200C" w:rsidRDefault="001D16E4" w:rsidP="001D16E4">
      <w:pPr>
        <w:spacing w:line="360" w:lineRule="auto"/>
        <w:ind w:left="360"/>
        <w:jc w:val="both"/>
        <w:outlineLvl w:val="0"/>
      </w:pPr>
      <w:r w:rsidRPr="0002200C">
        <w:rPr>
          <w:u w:val="single"/>
        </w:rPr>
        <w:t>Automobile Liability</w:t>
      </w:r>
    </w:p>
    <w:p w14:paraId="082AA198" w14:textId="77777777" w:rsidR="001D16E4" w:rsidRPr="0002200C" w:rsidRDefault="001D16E4" w:rsidP="001D16E4">
      <w:pPr>
        <w:spacing w:line="360" w:lineRule="auto"/>
        <w:ind w:left="360"/>
        <w:jc w:val="both"/>
      </w:pPr>
      <w:r w:rsidRPr="0002200C">
        <w:t>Automobile liability insurance is required with minimum limits of $1,000,000 per accident for bodily injury and property damage, including owned and non-owned and hired automobile coverage, as applicable to the scope of services defined under this agreement.</w:t>
      </w:r>
    </w:p>
    <w:p w14:paraId="6685EF27" w14:textId="77777777" w:rsidR="001D16E4" w:rsidRPr="0002200C" w:rsidRDefault="001D16E4" w:rsidP="001D16E4">
      <w:pPr>
        <w:spacing w:line="360" w:lineRule="auto"/>
        <w:ind w:left="360"/>
        <w:jc w:val="both"/>
      </w:pPr>
    </w:p>
    <w:p w14:paraId="3B348814" w14:textId="77777777" w:rsidR="001D16E4" w:rsidRPr="0002200C" w:rsidRDefault="001D16E4" w:rsidP="001D16E4">
      <w:pPr>
        <w:spacing w:line="360" w:lineRule="auto"/>
        <w:ind w:left="360"/>
        <w:jc w:val="both"/>
        <w:outlineLvl w:val="0"/>
      </w:pPr>
      <w:r w:rsidRPr="0002200C">
        <w:rPr>
          <w:u w:val="single"/>
        </w:rPr>
        <w:t>Workers’ Compensation</w:t>
      </w:r>
    </w:p>
    <w:p w14:paraId="69554A18" w14:textId="77777777" w:rsidR="001D16E4" w:rsidRPr="0002200C" w:rsidRDefault="001D16E4" w:rsidP="001D16E4">
      <w:pPr>
        <w:spacing w:line="360" w:lineRule="auto"/>
        <w:ind w:left="360"/>
        <w:jc w:val="both"/>
      </w:pPr>
      <w:r w:rsidRPr="0002200C">
        <w:t xml:space="preserve">If </w:t>
      </w:r>
      <w:r>
        <w:t>CONSULTANT</w:t>
      </w:r>
      <w:r w:rsidRPr="0002200C">
        <w:t xml:space="preserve"> has employees, he/she shall obtain and maintain continuously </w:t>
      </w:r>
      <w:r>
        <w:t>W</w:t>
      </w:r>
      <w:r w:rsidRPr="0002200C">
        <w:t xml:space="preserve">orkers’ </w:t>
      </w:r>
      <w:r>
        <w:t>C</w:t>
      </w:r>
      <w:r w:rsidRPr="0002200C">
        <w:t xml:space="preserve">ompensation insurance to cover </w:t>
      </w:r>
      <w:r>
        <w:t>CONSULTANT</w:t>
      </w:r>
      <w:r w:rsidRPr="0002200C">
        <w:t xml:space="preserve"> and </w:t>
      </w:r>
      <w:r>
        <w:t>CONSULTANT’</w:t>
      </w:r>
      <w:r w:rsidRPr="0002200C">
        <w:t xml:space="preserve">s employees and volunteers, as required by the State of </w:t>
      </w:r>
      <w:smartTag w:uri="urn:schemas-microsoft-com:office:smarttags" w:element="State">
        <w:smartTag w:uri="urn:schemas-microsoft-com:office:smarttags" w:element="place">
          <w:r w:rsidRPr="0002200C">
            <w:t>California</w:t>
          </w:r>
        </w:smartTag>
      </w:smartTag>
      <w:r w:rsidRPr="0002200C">
        <w:t xml:space="preserve">, as well as Employer’s Liability insurance in the minimum amount of $1,000,000 per accident for bodily injury or disease.  </w:t>
      </w:r>
    </w:p>
    <w:p w14:paraId="08086AF7" w14:textId="77777777" w:rsidR="001D16E4" w:rsidRPr="0002200C" w:rsidRDefault="001D16E4" w:rsidP="001D16E4">
      <w:pPr>
        <w:spacing w:line="360" w:lineRule="auto"/>
        <w:ind w:left="360"/>
        <w:jc w:val="both"/>
        <w:rPr>
          <w:u w:val="single"/>
        </w:rPr>
      </w:pPr>
    </w:p>
    <w:p w14:paraId="45FC3CF4" w14:textId="77777777" w:rsidR="001D16E4" w:rsidRPr="0002200C" w:rsidRDefault="001D16E4" w:rsidP="001D16E4">
      <w:pPr>
        <w:spacing w:line="360" w:lineRule="auto"/>
        <w:ind w:left="360"/>
        <w:jc w:val="both"/>
      </w:pPr>
      <w:r w:rsidRPr="0002200C">
        <w:rPr>
          <w:u w:val="single"/>
        </w:rPr>
        <w:t>Professional Liability</w:t>
      </w:r>
      <w:r w:rsidRPr="0002200C">
        <w:t xml:space="preserve"> (</w:t>
      </w:r>
      <w:r>
        <w:t>CONSULTANT</w:t>
      </w:r>
      <w:r w:rsidRPr="0002200C">
        <w:t>/Professional services standard agreement only)</w:t>
      </w:r>
    </w:p>
    <w:p w14:paraId="78BB3175" w14:textId="77777777" w:rsidR="001D16E4" w:rsidRDefault="001D16E4" w:rsidP="001D16E4">
      <w:pPr>
        <w:spacing w:line="360" w:lineRule="auto"/>
        <w:ind w:left="360"/>
        <w:jc w:val="both"/>
      </w:pPr>
      <w:r w:rsidRPr="0002200C">
        <w:t xml:space="preserve">If </w:t>
      </w:r>
      <w:r>
        <w:t>CONSULTANT</w:t>
      </w:r>
      <w:r w:rsidRPr="0002200C">
        <w:t xml:space="preserve"> is</w:t>
      </w:r>
      <w:r>
        <w:t xml:space="preserve"> a state-licensed architect, engineer, CONSULTANT, counselor, attorney, accountant, medical provider, and/or other professional</w:t>
      </w:r>
    </w:p>
    <w:p w14:paraId="40654705" w14:textId="77777777" w:rsidR="001D16E4" w:rsidRDefault="001D16E4" w:rsidP="001D16E4">
      <w:r>
        <w:br w:type="page"/>
      </w:r>
    </w:p>
    <w:p w14:paraId="08626BDA" w14:textId="77777777" w:rsidR="001D16E4" w:rsidRDefault="001D16E4" w:rsidP="001D16E4"/>
    <w:p w14:paraId="42D0464A" w14:textId="77777777" w:rsidR="001D16E4" w:rsidRPr="00917A36" w:rsidRDefault="001D16E4" w:rsidP="001D16E4">
      <w:pPr>
        <w:spacing w:line="360" w:lineRule="auto"/>
        <w:ind w:left="360"/>
        <w:jc w:val="both"/>
      </w:pPr>
      <w:r>
        <w:t xml:space="preserve"> licensed by the State of California to practice a profession, CONSULTANT</w:t>
      </w:r>
      <w:r w:rsidRPr="009002E9">
        <w:t xml:space="preserve"> shall provid</w:t>
      </w:r>
      <w:r>
        <w:t>e</w:t>
      </w:r>
      <w:r w:rsidRPr="009002E9">
        <w:t xml:space="preserve"> and maintain in full force and effect while providing services pursuant to this </w:t>
      </w:r>
      <w:r>
        <w:t xml:space="preserve">contract a </w:t>
      </w:r>
      <w:r w:rsidRPr="009002E9">
        <w:t xml:space="preserve">professional liability policy (also known as </w:t>
      </w:r>
      <w:r>
        <w:t>E</w:t>
      </w:r>
      <w:r w:rsidRPr="009002E9">
        <w:t xml:space="preserve">rrors and </w:t>
      </w:r>
      <w:r>
        <w:t>O</w:t>
      </w:r>
      <w:r w:rsidRPr="009002E9">
        <w:t xml:space="preserve">missions or </w:t>
      </w:r>
      <w:r>
        <w:t>M</w:t>
      </w:r>
      <w:r w:rsidRPr="009002E9">
        <w:t>a</w:t>
      </w:r>
      <w:r>
        <w:t xml:space="preserve">lpractice liability insurance) with single limits of liability not less than </w:t>
      </w:r>
      <w:r w:rsidRPr="00F82152">
        <w:t>$1,000,000 per claim and $2,000,000 aggregate on a claims</w:t>
      </w:r>
      <w:r>
        <w:t xml:space="preserve"> made basis.  However, if coverage is written on a claims made basis, the policy shall be endorsed to provide coverage for at least three years from termination of agreement.</w:t>
      </w:r>
    </w:p>
    <w:p w14:paraId="4B255249" w14:textId="77777777" w:rsidR="001D16E4" w:rsidRDefault="001D16E4" w:rsidP="001D16E4">
      <w:pPr>
        <w:spacing w:line="360" w:lineRule="auto"/>
        <w:jc w:val="both"/>
      </w:pPr>
    </w:p>
    <w:p w14:paraId="71D28658" w14:textId="7939D987" w:rsidR="001D16E4" w:rsidRPr="000A0CA8" w:rsidRDefault="001D16E4" w:rsidP="001D16E4">
      <w:pPr>
        <w:spacing w:line="360" w:lineRule="auto"/>
        <w:jc w:val="both"/>
      </w:pPr>
      <w:r>
        <w:t xml:space="preserve">If </w:t>
      </w:r>
      <w:r w:rsidRPr="000A0CA8">
        <w:t xml:space="preserve">CONSULTANT maintains higher limits than the minimums shown above, </w:t>
      </w:r>
      <w:r w:rsidR="00CD365C" w:rsidRPr="000A0CA8">
        <w:t>Commission</w:t>
      </w:r>
      <w:r w:rsidRPr="000A0CA8">
        <w:t xml:space="preserve"> shall be entitled to coverage for the higher limits maintained by CONSULTANT.</w:t>
      </w:r>
    </w:p>
    <w:p w14:paraId="3478D747" w14:textId="77777777" w:rsidR="001D16E4" w:rsidRPr="000A0CA8" w:rsidRDefault="001D16E4" w:rsidP="001D16E4">
      <w:pPr>
        <w:spacing w:line="360" w:lineRule="auto"/>
        <w:jc w:val="both"/>
      </w:pPr>
    </w:p>
    <w:p w14:paraId="1AE79BA2" w14:textId="77777777" w:rsidR="001D16E4" w:rsidRPr="000A0CA8" w:rsidRDefault="001D16E4" w:rsidP="001D16E4">
      <w:pPr>
        <w:spacing w:line="360" w:lineRule="auto"/>
        <w:jc w:val="both"/>
      </w:pPr>
      <w:r w:rsidRPr="000A0CA8">
        <w:t xml:space="preserve">All such insurance coverage, except professional liability insurance, shall be provided on an “occurrence” basis, rather than a “claims made” basis. </w:t>
      </w:r>
    </w:p>
    <w:p w14:paraId="424A4B5A" w14:textId="77777777" w:rsidR="001D16E4" w:rsidRPr="000A0CA8" w:rsidRDefault="001D16E4" w:rsidP="001D16E4">
      <w:pPr>
        <w:spacing w:line="360" w:lineRule="auto"/>
        <w:jc w:val="both"/>
      </w:pPr>
    </w:p>
    <w:p w14:paraId="373989B2" w14:textId="77777777" w:rsidR="001D16E4" w:rsidRPr="000A0CA8" w:rsidRDefault="001D16E4" w:rsidP="001D16E4">
      <w:pPr>
        <w:spacing w:line="360" w:lineRule="auto"/>
        <w:jc w:val="both"/>
        <w:outlineLvl w:val="0"/>
        <w:rPr>
          <w:u w:val="single"/>
        </w:rPr>
      </w:pPr>
      <w:r w:rsidRPr="000A0CA8">
        <w:rPr>
          <w:u w:val="single"/>
        </w:rPr>
        <w:t>Endorsements:  Additional Insureds</w:t>
      </w:r>
    </w:p>
    <w:p w14:paraId="35644EE0" w14:textId="2BD39D5E" w:rsidR="001D16E4" w:rsidRPr="000A0CA8" w:rsidRDefault="001D16E4" w:rsidP="001D16E4">
      <w:pPr>
        <w:spacing w:line="360" w:lineRule="auto"/>
        <w:jc w:val="both"/>
      </w:pPr>
      <w:r w:rsidRPr="000A0CA8">
        <w:t xml:space="preserve">The Commercial General Liability and Automobile Liability policies shall include, or be endorsed to include “Tehama </w:t>
      </w:r>
      <w:r w:rsidR="00CD365C" w:rsidRPr="000A0CA8">
        <w:t>Commission</w:t>
      </w:r>
      <w:r w:rsidRPr="000A0CA8">
        <w:t xml:space="preserve">, its elected officials, officers, employees and volunteers” as an additional insured. </w:t>
      </w:r>
    </w:p>
    <w:p w14:paraId="6432BFB7" w14:textId="77777777" w:rsidR="001D16E4" w:rsidRPr="000A0CA8" w:rsidRDefault="001D16E4" w:rsidP="001D16E4">
      <w:pPr>
        <w:spacing w:line="360" w:lineRule="auto"/>
        <w:jc w:val="both"/>
        <w:outlineLvl w:val="0"/>
      </w:pPr>
    </w:p>
    <w:p w14:paraId="09F1AF3E" w14:textId="37E711B7" w:rsidR="001D16E4" w:rsidRPr="000A0CA8" w:rsidRDefault="001D16E4" w:rsidP="001D16E4">
      <w:pPr>
        <w:spacing w:line="360" w:lineRule="auto"/>
        <w:jc w:val="both"/>
        <w:outlineLvl w:val="0"/>
      </w:pPr>
      <w:r w:rsidRPr="000A0CA8">
        <w:t>The certificate holder shall be “</w:t>
      </w:r>
      <w:r w:rsidR="00CD365C" w:rsidRPr="000A0CA8">
        <w:t>Commission</w:t>
      </w:r>
      <w:r w:rsidRPr="000A0CA8">
        <w:t xml:space="preserve"> of </w:t>
      </w:r>
      <w:smartTag w:uri="urn:schemas-microsoft-com:office:smarttags" w:element="PlaceName">
        <w:r w:rsidRPr="000A0CA8">
          <w:t>Tehama</w:t>
        </w:r>
      </w:smartTag>
      <w:r w:rsidRPr="000A0CA8">
        <w:t>.”</w:t>
      </w:r>
    </w:p>
    <w:p w14:paraId="17DC963F" w14:textId="77777777" w:rsidR="001D16E4" w:rsidRPr="000A0CA8" w:rsidRDefault="001D16E4" w:rsidP="001D16E4">
      <w:pPr>
        <w:spacing w:line="360" w:lineRule="auto"/>
        <w:jc w:val="both"/>
        <w:rPr>
          <w:u w:val="single"/>
        </w:rPr>
      </w:pPr>
    </w:p>
    <w:p w14:paraId="047CB59F" w14:textId="77777777" w:rsidR="001D16E4" w:rsidRPr="000A0CA8" w:rsidRDefault="001D16E4" w:rsidP="001D16E4">
      <w:pPr>
        <w:spacing w:line="360" w:lineRule="auto"/>
        <w:jc w:val="both"/>
        <w:outlineLvl w:val="0"/>
        <w:rPr>
          <w:u w:val="single"/>
        </w:rPr>
      </w:pPr>
      <w:r w:rsidRPr="000A0CA8">
        <w:rPr>
          <w:u w:val="single"/>
        </w:rPr>
        <w:t>Deductibles and Self-Insured Retentions</w:t>
      </w:r>
    </w:p>
    <w:p w14:paraId="3F505A38" w14:textId="7EF3AE3A" w:rsidR="001D16E4" w:rsidRPr="000A0CA8" w:rsidRDefault="001D16E4" w:rsidP="001D16E4">
      <w:pPr>
        <w:spacing w:line="360" w:lineRule="auto"/>
        <w:jc w:val="both"/>
      </w:pPr>
      <w:r w:rsidRPr="000A0CA8">
        <w:t xml:space="preserve">Any deductibles or self-insured retentions of $25,000 or more must be declared to, and approved by, the </w:t>
      </w:r>
      <w:r w:rsidR="00CD365C" w:rsidRPr="000A0CA8">
        <w:t>Commission</w:t>
      </w:r>
      <w:r w:rsidRPr="000A0CA8">
        <w:t xml:space="preserve">. The deductible and/or self-insured retentions will not limit or apply to CONSULTANT’s liability to </w:t>
      </w:r>
      <w:r w:rsidR="00CD365C" w:rsidRPr="000A0CA8">
        <w:t>Commission</w:t>
      </w:r>
      <w:r w:rsidRPr="000A0CA8">
        <w:t xml:space="preserve"> and will be the sole responsibility of CONSULTANT.</w:t>
      </w:r>
    </w:p>
    <w:p w14:paraId="08A1FECC" w14:textId="77777777" w:rsidR="001D16E4" w:rsidRPr="000A0CA8" w:rsidRDefault="001D16E4" w:rsidP="001D16E4">
      <w:pPr>
        <w:spacing w:line="360" w:lineRule="auto"/>
        <w:jc w:val="both"/>
      </w:pPr>
    </w:p>
    <w:p w14:paraId="49B89387" w14:textId="77777777" w:rsidR="001D16E4" w:rsidRPr="000A0CA8" w:rsidRDefault="001D16E4" w:rsidP="001D16E4">
      <w:pPr>
        <w:spacing w:line="360" w:lineRule="auto"/>
        <w:jc w:val="both"/>
        <w:outlineLvl w:val="0"/>
        <w:rPr>
          <w:u w:val="single"/>
        </w:rPr>
      </w:pPr>
      <w:r w:rsidRPr="000A0CA8">
        <w:rPr>
          <w:u w:val="single"/>
        </w:rPr>
        <w:t>Primary Insurance Coverage</w:t>
      </w:r>
    </w:p>
    <w:p w14:paraId="49007D75" w14:textId="317E1C41" w:rsidR="001D16E4" w:rsidRPr="000A0CA8" w:rsidRDefault="001D16E4" w:rsidP="001D16E4">
      <w:pPr>
        <w:spacing w:line="360" w:lineRule="auto"/>
        <w:jc w:val="both"/>
      </w:pPr>
      <w:r w:rsidRPr="000A0CA8">
        <w:t xml:space="preserve">For any claims related to this project, CONSULTANT’s insurance coverage shall be primary insurance as respects the </w:t>
      </w:r>
      <w:r w:rsidR="00CD365C" w:rsidRPr="000A0CA8">
        <w:t>Commission</w:t>
      </w:r>
      <w:r w:rsidRPr="000A0CA8">
        <w:t xml:space="preserve">, its officers, officials, employees, and volunteers.  Any </w:t>
      </w:r>
      <w:r w:rsidRPr="000A0CA8">
        <w:lastRenderedPageBreak/>
        <w:t xml:space="preserve">insurance or self-insurance maintained by the </w:t>
      </w:r>
      <w:r w:rsidR="00CD365C" w:rsidRPr="000A0CA8">
        <w:t>Commission</w:t>
      </w:r>
      <w:r w:rsidRPr="000A0CA8">
        <w:t>, its officers, officials, employees, or volunteers shall be excess of CONSULTANT’s insurance and shall not contribute with it.</w:t>
      </w:r>
    </w:p>
    <w:p w14:paraId="32D9BC0F" w14:textId="77777777" w:rsidR="001D16E4" w:rsidRPr="000A0CA8" w:rsidRDefault="001D16E4" w:rsidP="001D16E4">
      <w:pPr>
        <w:spacing w:line="360" w:lineRule="auto"/>
        <w:jc w:val="both"/>
        <w:outlineLvl w:val="0"/>
        <w:rPr>
          <w:u w:val="single"/>
        </w:rPr>
      </w:pPr>
      <w:r w:rsidRPr="000A0CA8">
        <w:rPr>
          <w:u w:val="single"/>
        </w:rPr>
        <w:t>Coverage Cancellation</w:t>
      </w:r>
    </w:p>
    <w:p w14:paraId="66105B05" w14:textId="27AF27D7" w:rsidR="001D16E4" w:rsidRPr="000A0CA8" w:rsidRDefault="001D16E4" w:rsidP="001D16E4">
      <w:pPr>
        <w:spacing w:line="360" w:lineRule="auto"/>
        <w:jc w:val="both"/>
      </w:pPr>
      <w:r w:rsidRPr="000A0CA8">
        <w:t xml:space="preserve">Each insurance policy required herein shall be endorsed to state that “coverage shall not be reduced or canceled without 30 days’ prior written notice certain to the </w:t>
      </w:r>
      <w:r w:rsidR="00CD365C" w:rsidRPr="000A0CA8">
        <w:t>Commission</w:t>
      </w:r>
      <w:r w:rsidRPr="000A0CA8">
        <w:t xml:space="preserve">.”  </w:t>
      </w:r>
    </w:p>
    <w:p w14:paraId="1C80CB46" w14:textId="77777777" w:rsidR="001D16E4" w:rsidRPr="000A0CA8" w:rsidRDefault="001D16E4" w:rsidP="001D16E4">
      <w:pPr>
        <w:spacing w:line="360" w:lineRule="auto"/>
        <w:jc w:val="both"/>
        <w:outlineLvl w:val="0"/>
        <w:rPr>
          <w:u w:val="single"/>
        </w:rPr>
      </w:pPr>
      <w:r w:rsidRPr="000A0CA8">
        <w:rPr>
          <w:u w:val="single"/>
        </w:rPr>
        <w:t>Acceptability of Insurers</w:t>
      </w:r>
    </w:p>
    <w:p w14:paraId="14030AF5" w14:textId="46981A3E" w:rsidR="001D16E4" w:rsidRPr="000A0CA8" w:rsidRDefault="001D16E4" w:rsidP="001D16E4">
      <w:pPr>
        <w:spacing w:line="360" w:lineRule="auto"/>
        <w:jc w:val="both"/>
      </w:pPr>
      <w:r w:rsidRPr="000A0CA8">
        <w:t xml:space="preserve">CONSULTANT’s insurance shall be placed with an insurance carrier holding a current A.M. Best &amp; Company’s rating of not less than A:VII unless otherwise acceptable to the </w:t>
      </w:r>
      <w:r w:rsidR="00CD365C" w:rsidRPr="000A0CA8">
        <w:t>Commission</w:t>
      </w:r>
      <w:r w:rsidRPr="000A0CA8">
        <w:t xml:space="preserve">.  The </w:t>
      </w:r>
      <w:r w:rsidR="00CD365C" w:rsidRPr="000A0CA8">
        <w:t>Commission</w:t>
      </w:r>
      <w:r w:rsidRPr="000A0CA8">
        <w:t xml:space="preserve"> reserves the right to require rating verification.  CONSULTANT shall ensure that the insurance carrier shall be authorized to transact business in the State of </w:t>
      </w:r>
      <w:smartTag w:uri="urn:schemas-microsoft-com:office:smarttags" w:element="State">
        <w:smartTag w:uri="urn:schemas-microsoft-com:office:smarttags" w:element="place">
          <w:r w:rsidRPr="000A0CA8">
            <w:t>California</w:t>
          </w:r>
        </w:smartTag>
      </w:smartTag>
      <w:r w:rsidRPr="000A0CA8">
        <w:t>.</w:t>
      </w:r>
    </w:p>
    <w:p w14:paraId="53C81A44" w14:textId="77777777" w:rsidR="001D16E4" w:rsidRPr="000A0CA8" w:rsidRDefault="001D16E4" w:rsidP="001D16E4">
      <w:pPr>
        <w:spacing w:line="360" w:lineRule="auto"/>
        <w:jc w:val="both"/>
      </w:pPr>
    </w:p>
    <w:p w14:paraId="3EA4848F" w14:textId="77777777" w:rsidR="001D16E4" w:rsidRPr="000A0CA8" w:rsidRDefault="001D16E4" w:rsidP="001D16E4">
      <w:pPr>
        <w:spacing w:line="360" w:lineRule="auto"/>
        <w:jc w:val="both"/>
        <w:outlineLvl w:val="0"/>
        <w:rPr>
          <w:u w:val="single"/>
        </w:rPr>
      </w:pPr>
      <w:r w:rsidRPr="000A0CA8">
        <w:rPr>
          <w:u w:val="single"/>
        </w:rPr>
        <w:t>SUBCONSULTANTs</w:t>
      </w:r>
    </w:p>
    <w:p w14:paraId="487E4454" w14:textId="77777777" w:rsidR="001D16E4" w:rsidRPr="000A0CA8" w:rsidRDefault="001D16E4" w:rsidP="001D16E4">
      <w:pPr>
        <w:spacing w:line="360" w:lineRule="auto"/>
        <w:jc w:val="both"/>
      </w:pPr>
      <w:r w:rsidRPr="000A0CA8">
        <w:t>CONSULTANT shall require and verify that all SUBCONSULTANTs maintain insurance that meets all the requirements stated herein.</w:t>
      </w:r>
    </w:p>
    <w:p w14:paraId="2F103750" w14:textId="77777777" w:rsidR="001D16E4" w:rsidRPr="000A0CA8" w:rsidRDefault="001D16E4" w:rsidP="001D16E4">
      <w:pPr>
        <w:spacing w:line="360" w:lineRule="auto"/>
        <w:jc w:val="both"/>
      </w:pPr>
    </w:p>
    <w:p w14:paraId="1C26C803" w14:textId="77777777" w:rsidR="001D16E4" w:rsidRPr="000A0CA8" w:rsidRDefault="001D16E4" w:rsidP="001D16E4">
      <w:pPr>
        <w:spacing w:line="360" w:lineRule="auto"/>
        <w:jc w:val="both"/>
        <w:outlineLvl w:val="0"/>
        <w:rPr>
          <w:u w:val="single"/>
        </w:rPr>
      </w:pPr>
      <w:r w:rsidRPr="000A0CA8">
        <w:rPr>
          <w:u w:val="single"/>
        </w:rPr>
        <w:t>Material Breach</w:t>
      </w:r>
    </w:p>
    <w:p w14:paraId="16D3EDAA" w14:textId="14BEEFE3" w:rsidR="001D16E4" w:rsidRPr="000A0CA8" w:rsidRDefault="001D16E4" w:rsidP="001D16E4">
      <w:pPr>
        <w:spacing w:line="360" w:lineRule="auto"/>
        <w:jc w:val="both"/>
      </w:pPr>
      <w:r w:rsidRPr="000A0CA8">
        <w:t xml:space="preserve">If for any reason, CONSULTANT fails to maintain insurance coverage or to provide evidence of renewal, the same shall be deemed a material breach of contract.  </w:t>
      </w:r>
      <w:r w:rsidR="00CD365C" w:rsidRPr="000A0CA8">
        <w:t>Commission</w:t>
      </w:r>
      <w:r w:rsidRPr="000A0CA8">
        <w:t xml:space="preserve">, in its sole option, may terminate the contract and obtain damages from CONSULTANT resulting from breach.  Alternatively, </w:t>
      </w:r>
      <w:r w:rsidR="00CD365C" w:rsidRPr="000A0CA8">
        <w:t>Commission</w:t>
      </w:r>
      <w:r w:rsidRPr="000A0CA8">
        <w:t xml:space="preserve"> may purchase such required insurance coverage, and without further notice to CONSULTANT, </w:t>
      </w:r>
      <w:r w:rsidR="00CD365C" w:rsidRPr="000A0CA8">
        <w:t>Commission</w:t>
      </w:r>
      <w:r w:rsidRPr="000A0CA8">
        <w:t xml:space="preserve"> may deduct from sums due to CONSULTANT any premium costs advanced by </w:t>
      </w:r>
      <w:r w:rsidR="00CD365C" w:rsidRPr="000A0CA8">
        <w:t>Commission</w:t>
      </w:r>
      <w:r w:rsidRPr="000A0CA8">
        <w:t xml:space="preserve"> for such insurance. </w:t>
      </w:r>
    </w:p>
    <w:p w14:paraId="5B514CAD" w14:textId="77777777" w:rsidR="001D16E4" w:rsidRPr="000A0CA8" w:rsidRDefault="001D16E4" w:rsidP="001D16E4">
      <w:pPr>
        <w:spacing w:line="360" w:lineRule="auto"/>
        <w:jc w:val="both"/>
        <w:rPr>
          <w:u w:val="single"/>
        </w:rPr>
      </w:pPr>
    </w:p>
    <w:p w14:paraId="58F77258" w14:textId="77777777" w:rsidR="001D16E4" w:rsidRPr="000A0CA8" w:rsidRDefault="001D16E4" w:rsidP="001D16E4">
      <w:pPr>
        <w:spacing w:line="360" w:lineRule="auto"/>
        <w:jc w:val="both"/>
        <w:outlineLvl w:val="0"/>
        <w:rPr>
          <w:u w:val="single"/>
        </w:rPr>
      </w:pPr>
      <w:r w:rsidRPr="000A0CA8">
        <w:rPr>
          <w:u w:val="single"/>
        </w:rPr>
        <w:t>Policy Obligations</w:t>
      </w:r>
    </w:p>
    <w:p w14:paraId="27EA9095" w14:textId="77777777" w:rsidR="001D16E4" w:rsidRPr="000A0CA8" w:rsidRDefault="001D16E4" w:rsidP="001D16E4">
      <w:pPr>
        <w:spacing w:line="360" w:lineRule="auto"/>
        <w:jc w:val="both"/>
      </w:pPr>
      <w:r w:rsidRPr="000A0CA8">
        <w:t>CONSULTANT’s indemnity and other obligations shall not be limited by the foregoing insurance requirements.</w:t>
      </w:r>
    </w:p>
    <w:p w14:paraId="6CB96C35" w14:textId="77777777" w:rsidR="001D16E4" w:rsidRPr="000A0CA8" w:rsidRDefault="001D16E4" w:rsidP="001D16E4">
      <w:pPr>
        <w:spacing w:line="360" w:lineRule="auto"/>
        <w:jc w:val="both"/>
        <w:rPr>
          <w:u w:val="single"/>
        </w:rPr>
      </w:pPr>
    </w:p>
    <w:p w14:paraId="2079236B" w14:textId="77777777" w:rsidR="001D16E4" w:rsidRPr="000A0CA8" w:rsidRDefault="001D16E4" w:rsidP="001D16E4">
      <w:pPr>
        <w:spacing w:line="360" w:lineRule="auto"/>
        <w:jc w:val="both"/>
        <w:outlineLvl w:val="0"/>
        <w:rPr>
          <w:u w:val="single"/>
        </w:rPr>
      </w:pPr>
      <w:r w:rsidRPr="000A0CA8">
        <w:rPr>
          <w:u w:val="single"/>
        </w:rPr>
        <w:t>Verification of Coverage</w:t>
      </w:r>
    </w:p>
    <w:p w14:paraId="62508494" w14:textId="502487C3" w:rsidR="001D16E4" w:rsidRPr="000A0CA8" w:rsidRDefault="001D16E4" w:rsidP="001D16E4">
      <w:pPr>
        <w:spacing w:line="360" w:lineRule="auto"/>
        <w:jc w:val="both"/>
      </w:pPr>
      <w:r w:rsidRPr="000A0CA8">
        <w:t xml:space="preserve">CONSULTANT shall furnish </w:t>
      </w:r>
      <w:r w:rsidR="00CD365C" w:rsidRPr="000A0CA8">
        <w:t>Commission</w:t>
      </w:r>
      <w:r w:rsidRPr="000A0CA8">
        <w:t xml:space="preserve"> with original certificates and endorsements effecting coverage required herein.  All certificates and endorsements shall be received and approved by the </w:t>
      </w:r>
      <w:r w:rsidR="00CD365C" w:rsidRPr="000A0CA8">
        <w:lastRenderedPageBreak/>
        <w:t>Commission</w:t>
      </w:r>
      <w:r w:rsidRPr="000A0CA8">
        <w:t xml:space="preserve"> prior to </w:t>
      </w:r>
      <w:r w:rsidR="00CD365C" w:rsidRPr="000A0CA8">
        <w:t>Commission</w:t>
      </w:r>
      <w:r w:rsidRPr="000A0CA8">
        <w:t xml:space="preserve"> signing the agreement and before work commences.  However, failure to do so shall not operate as a waiver of these insurance requirements.</w:t>
      </w:r>
    </w:p>
    <w:p w14:paraId="45FB1142" w14:textId="77777777" w:rsidR="001D16E4" w:rsidRPr="000A0CA8" w:rsidRDefault="001D16E4" w:rsidP="001D16E4">
      <w:pPr>
        <w:spacing w:line="360" w:lineRule="auto"/>
        <w:jc w:val="both"/>
      </w:pPr>
    </w:p>
    <w:p w14:paraId="4BD1F59B" w14:textId="53B12230" w:rsidR="001D16E4" w:rsidRDefault="001D16E4" w:rsidP="001D16E4">
      <w:pPr>
        <w:spacing w:after="200" w:line="276" w:lineRule="auto"/>
        <w:jc w:val="both"/>
        <w:rPr>
          <w:rFonts w:asciiTheme="majorHAnsi" w:hAnsiTheme="majorHAnsi"/>
        </w:rPr>
      </w:pPr>
      <w:r w:rsidRPr="000A0CA8">
        <w:t xml:space="preserve">The </w:t>
      </w:r>
      <w:r w:rsidR="00CD365C" w:rsidRPr="000A0CA8">
        <w:t>Commission</w:t>
      </w:r>
      <w:r w:rsidRPr="000A0CA8">
        <w:t xml:space="preserve"> reserves the right to require complete, certified copies of all required insurance policies, including endorsements effecting the coverage required by these specifications at any time.</w:t>
      </w:r>
      <w:r>
        <w:t xml:space="preserve"> </w:t>
      </w:r>
    </w:p>
    <w:p w14:paraId="50C812F9" w14:textId="77777777" w:rsidR="001D16E4" w:rsidRDefault="001D16E4" w:rsidP="001D16E4">
      <w:pPr>
        <w:rPr>
          <w:rFonts w:asciiTheme="majorHAnsi" w:hAnsiTheme="majorHAnsi"/>
        </w:rPr>
      </w:pPr>
      <w:r>
        <w:rPr>
          <w:rFonts w:asciiTheme="majorHAnsi" w:hAnsiTheme="majorHAnsi"/>
        </w:rPr>
        <w:br w:type="page"/>
      </w:r>
    </w:p>
    <w:p w14:paraId="268CC83B" w14:textId="77777777" w:rsidR="001D16E4" w:rsidRPr="00A9465A" w:rsidRDefault="001D16E4" w:rsidP="001D16E4">
      <w:pPr>
        <w:spacing w:after="200" w:line="276" w:lineRule="auto"/>
        <w:jc w:val="center"/>
      </w:pPr>
      <w:r w:rsidRPr="00A9465A">
        <w:lastRenderedPageBreak/>
        <w:t>Exhibit B</w:t>
      </w:r>
    </w:p>
    <w:p w14:paraId="01EA36E2" w14:textId="77777777" w:rsidR="001D16E4" w:rsidRDefault="001D16E4" w:rsidP="001D16E4">
      <w:pPr>
        <w:spacing w:after="200" w:line="276" w:lineRule="auto"/>
        <w:jc w:val="center"/>
      </w:pPr>
      <w:r w:rsidRPr="00A9465A">
        <w:t>Scope of Work</w:t>
      </w:r>
    </w:p>
    <w:p w14:paraId="11483F77" w14:textId="77777777" w:rsidR="001D16E4" w:rsidRDefault="001D16E4" w:rsidP="001D16E4">
      <w:pPr>
        <w:spacing w:after="160" w:line="259" w:lineRule="auto"/>
      </w:pPr>
      <w:r>
        <w:br w:type="page"/>
      </w:r>
    </w:p>
    <w:p w14:paraId="1BB77706" w14:textId="77777777" w:rsidR="001D16E4" w:rsidRPr="00A9465A" w:rsidRDefault="001D16E4" w:rsidP="001D16E4">
      <w:pPr>
        <w:spacing w:line="360" w:lineRule="auto"/>
        <w:jc w:val="center"/>
      </w:pPr>
      <w:r w:rsidRPr="00A9465A">
        <w:lastRenderedPageBreak/>
        <w:t>Exhibit C</w:t>
      </w:r>
    </w:p>
    <w:p w14:paraId="685DF3E6" w14:textId="77777777" w:rsidR="001D16E4" w:rsidRPr="00A9465A" w:rsidRDefault="001D16E4" w:rsidP="001D16E4">
      <w:pPr>
        <w:spacing w:line="360" w:lineRule="auto"/>
        <w:jc w:val="center"/>
      </w:pPr>
      <w:r w:rsidRPr="00A9465A">
        <w:t>Fee Schedule</w:t>
      </w:r>
    </w:p>
    <w:p w14:paraId="7762ACC5" w14:textId="77777777" w:rsidR="001D16E4" w:rsidRPr="00A9465A" w:rsidRDefault="001D16E4" w:rsidP="001D16E4">
      <w:pPr>
        <w:spacing w:line="360" w:lineRule="auto"/>
        <w:jc w:val="center"/>
      </w:pPr>
      <w:r w:rsidRPr="00A9465A">
        <w:t>(TBD)</w:t>
      </w:r>
    </w:p>
    <w:p w14:paraId="1F8B0930" w14:textId="77777777" w:rsidR="001D16E4" w:rsidRPr="00670F68" w:rsidRDefault="001D16E4" w:rsidP="001D16E4">
      <w:pPr>
        <w:spacing w:after="200" w:line="276" w:lineRule="auto"/>
        <w:jc w:val="center"/>
        <w:rPr>
          <w:rFonts w:asciiTheme="majorHAnsi" w:hAnsiTheme="majorHAnsi"/>
        </w:rPr>
      </w:pPr>
    </w:p>
    <w:p w14:paraId="33EC4796" w14:textId="77777777" w:rsidR="001D16E4" w:rsidRDefault="001D16E4" w:rsidP="001D16E4"/>
    <w:p w14:paraId="64468F96" w14:textId="6D65E79D" w:rsidR="00534BBD" w:rsidRPr="006515E8" w:rsidRDefault="00534BBD" w:rsidP="00534BBD">
      <w:pPr>
        <w:sectPr w:rsidR="00534BBD" w:rsidRPr="006515E8" w:rsidSect="00F30774">
          <w:headerReference w:type="default" r:id="rId23"/>
          <w:footerReference w:type="default" r:id="rId24"/>
          <w:pgSz w:w="12240" w:h="15840" w:code="1"/>
          <w:pgMar w:top="1440" w:right="1440" w:bottom="1440" w:left="1440" w:header="720" w:footer="720" w:gutter="0"/>
          <w:pgNumType w:chapStyle="1"/>
          <w:cols w:space="720"/>
          <w:docGrid w:linePitch="360"/>
        </w:sectPr>
      </w:pPr>
    </w:p>
    <w:p w14:paraId="01FF5DD0" w14:textId="77777777" w:rsidR="00534BBD" w:rsidRPr="004A6C2B" w:rsidRDefault="00534BBD" w:rsidP="00534BBD">
      <w:pPr>
        <w:spacing w:line="480" w:lineRule="auto"/>
        <w:jc w:val="center"/>
        <w:outlineLvl w:val="0"/>
        <w:rPr>
          <w:u w:val="single"/>
        </w:rPr>
      </w:pPr>
      <w:r w:rsidRPr="004A6C2B">
        <w:rPr>
          <w:u w:val="single"/>
        </w:rPr>
        <w:lastRenderedPageBreak/>
        <w:t>Exhibit A</w:t>
      </w:r>
    </w:p>
    <w:p w14:paraId="3CBEB2C1" w14:textId="20486966" w:rsidR="00534BBD" w:rsidRPr="00675CE9" w:rsidRDefault="00534BBD" w:rsidP="00534BBD">
      <w:pPr>
        <w:spacing w:line="360" w:lineRule="auto"/>
        <w:jc w:val="center"/>
        <w:outlineLvl w:val="0"/>
        <w:rPr>
          <w:b/>
          <w:u w:val="single"/>
        </w:rPr>
      </w:pPr>
      <w:r w:rsidRPr="00675CE9">
        <w:rPr>
          <w:b/>
          <w:u w:val="single"/>
        </w:rPr>
        <w:t xml:space="preserve">INSURANCE REQUIREMENTS FOR </w:t>
      </w:r>
      <w:r w:rsidR="002460D1">
        <w:rPr>
          <w:b/>
          <w:u w:val="single"/>
        </w:rPr>
        <w:t>CONSULTANT</w:t>
      </w:r>
    </w:p>
    <w:p w14:paraId="7ADC66CF" w14:textId="77777777" w:rsidR="00534BBD" w:rsidRDefault="00534BBD" w:rsidP="00534BBD">
      <w:pPr>
        <w:spacing w:line="360" w:lineRule="auto"/>
      </w:pPr>
    </w:p>
    <w:p w14:paraId="74611C17" w14:textId="7AEDF5AF" w:rsidR="00534BBD" w:rsidRDefault="002460D1" w:rsidP="00670F68">
      <w:pPr>
        <w:spacing w:line="360" w:lineRule="auto"/>
        <w:jc w:val="both"/>
      </w:pPr>
      <w:r>
        <w:t>CONSULTANT</w:t>
      </w:r>
      <w:r w:rsidR="00534BBD">
        <w:t xml:space="preserve"> shall procure and maintain, for the duration of the contract, insurance against claims for injuries to persons or damages to property which may arise from or in connection with the performance of the work described herein and the results of that work by </w:t>
      </w:r>
      <w:r>
        <w:t>CONSULTANT</w:t>
      </w:r>
      <w:r w:rsidR="00534BBD">
        <w:t xml:space="preserve">, his/her agents, representatives, employees or </w:t>
      </w:r>
      <w:r w:rsidR="00463D83">
        <w:rPr>
          <w:bCs/>
        </w:rPr>
        <w:t>subconsultant</w:t>
      </w:r>
      <w:r w:rsidR="00534BBD">
        <w:t xml:space="preserve">s.  At a minimum, </w:t>
      </w:r>
      <w:r>
        <w:t>CONSULTANT</w:t>
      </w:r>
      <w:r w:rsidR="00534BBD">
        <w:t xml:space="preserve"> shall maintain the insurance coverage, limits of coverage and other insurance requirements as described below.</w:t>
      </w:r>
    </w:p>
    <w:p w14:paraId="4C7F992A" w14:textId="77777777" w:rsidR="00534BBD" w:rsidRDefault="00534BBD" w:rsidP="00670F68">
      <w:pPr>
        <w:spacing w:line="360" w:lineRule="auto"/>
        <w:jc w:val="both"/>
      </w:pPr>
    </w:p>
    <w:p w14:paraId="5623AF02" w14:textId="77777777" w:rsidR="00534BBD" w:rsidRPr="0002200C" w:rsidRDefault="00534BBD" w:rsidP="00670F68">
      <w:pPr>
        <w:spacing w:line="360" w:lineRule="auto"/>
        <w:ind w:left="360"/>
        <w:jc w:val="both"/>
      </w:pPr>
      <w:r w:rsidRPr="0002200C">
        <w:rPr>
          <w:u w:val="single"/>
        </w:rPr>
        <w:t>Commercial General Liability</w:t>
      </w:r>
      <w:r w:rsidRPr="0002200C">
        <w:t xml:space="preserve"> (including operations, products and completed operations)</w:t>
      </w:r>
    </w:p>
    <w:p w14:paraId="31FDB5E5" w14:textId="77777777" w:rsidR="00534BBD" w:rsidRPr="0002200C" w:rsidRDefault="00534BBD" w:rsidP="00670F68">
      <w:pPr>
        <w:spacing w:line="360" w:lineRule="auto"/>
        <w:ind w:left="360"/>
        <w:jc w:val="both"/>
      </w:pPr>
      <w:r w:rsidRPr="0002200C">
        <w:t>$1,000,000 per occurrence for bodily injury, personal injury and property damage.  If coverage is subject to an aggregate limit, that aggregate limit will be twice the occurrence limit, or the general aggregate limit shall apply separately to this project/location.</w:t>
      </w:r>
    </w:p>
    <w:p w14:paraId="6D37E7AF" w14:textId="77777777" w:rsidR="00534BBD" w:rsidRPr="0002200C" w:rsidRDefault="00534BBD" w:rsidP="00670F68">
      <w:pPr>
        <w:spacing w:line="360" w:lineRule="auto"/>
        <w:ind w:left="360"/>
        <w:jc w:val="both"/>
      </w:pPr>
    </w:p>
    <w:p w14:paraId="14C00815" w14:textId="77777777" w:rsidR="00534BBD" w:rsidRPr="0002200C" w:rsidRDefault="00534BBD" w:rsidP="00670F68">
      <w:pPr>
        <w:spacing w:line="360" w:lineRule="auto"/>
        <w:ind w:left="360"/>
        <w:jc w:val="both"/>
        <w:outlineLvl w:val="0"/>
      </w:pPr>
      <w:r w:rsidRPr="0002200C">
        <w:rPr>
          <w:u w:val="single"/>
        </w:rPr>
        <w:t>Automobile Liability</w:t>
      </w:r>
    </w:p>
    <w:p w14:paraId="2602C980" w14:textId="77777777" w:rsidR="00534BBD" w:rsidRPr="0002200C" w:rsidRDefault="00534BBD" w:rsidP="00670F68">
      <w:pPr>
        <w:spacing w:line="360" w:lineRule="auto"/>
        <w:ind w:left="360"/>
        <w:jc w:val="both"/>
      </w:pPr>
      <w:r w:rsidRPr="0002200C">
        <w:t>Automobile liability insurance is required with minimum limits of $1,000,000 per accident for bodily injury and property damage, including owned and non-owned and hired automobile coverage, as applicable to the scope of services defined under this agreement.</w:t>
      </w:r>
    </w:p>
    <w:p w14:paraId="53F8EBFF" w14:textId="77777777" w:rsidR="00534BBD" w:rsidRPr="0002200C" w:rsidRDefault="00534BBD" w:rsidP="00670F68">
      <w:pPr>
        <w:spacing w:line="360" w:lineRule="auto"/>
        <w:ind w:left="360"/>
        <w:jc w:val="both"/>
      </w:pPr>
    </w:p>
    <w:p w14:paraId="0F826DD5" w14:textId="77777777" w:rsidR="00534BBD" w:rsidRPr="0002200C" w:rsidRDefault="00534BBD" w:rsidP="00670F68">
      <w:pPr>
        <w:spacing w:line="360" w:lineRule="auto"/>
        <w:ind w:left="360"/>
        <w:jc w:val="both"/>
        <w:outlineLvl w:val="0"/>
      </w:pPr>
      <w:r w:rsidRPr="0002200C">
        <w:rPr>
          <w:u w:val="single"/>
        </w:rPr>
        <w:t>Workers’ Compensation</w:t>
      </w:r>
    </w:p>
    <w:p w14:paraId="19BC2FD7" w14:textId="15E33EA2" w:rsidR="00534BBD" w:rsidRPr="0002200C" w:rsidRDefault="00534BBD" w:rsidP="00670F68">
      <w:pPr>
        <w:spacing w:line="360" w:lineRule="auto"/>
        <w:ind w:left="360"/>
        <w:jc w:val="both"/>
      </w:pPr>
      <w:r w:rsidRPr="0002200C">
        <w:t xml:space="preserve">If </w:t>
      </w:r>
      <w:r w:rsidR="002460D1">
        <w:t>CONSULTANT</w:t>
      </w:r>
      <w:r w:rsidRPr="0002200C">
        <w:t xml:space="preserve"> has employees, he/she shall obtain and maintain continuously </w:t>
      </w:r>
      <w:r>
        <w:t>W</w:t>
      </w:r>
      <w:r w:rsidRPr="0002200C">
        <w:t xml:space="preserve">orkers’ </w:t>
      </w:r>
      <w:r>
        <w:t>C</w:t>
      </w:r>
      <w:r w:rsidRPr="0002200C">
        <w:t xml:space="preserve">ompensation insurance to cover </w:t>
      </w:r>
      <w:r w:rsidR="002460D1">
        <w:t>CONSULTANT</w:t>
      </w:r>
      <w:r w:rsidRPr="0002200C">
        <w:t xml:space="preserve"> and </w:t>
      </w:r>
      <w:r w:rsidR="002460D1">
        <w:t>CONSULTANT</w:t>
      </w:r>
      <w:r>
        <w:t>’</w:t>
      </w:r>
      <w:r w:rsidRPr="0002200C">
        <w:t xml:space="preserve">s employees and volunteers, as required by the State of </w:t>
      </w:r>
      <w:smartTag w:uri="urn:schemas-microsoft-com:office:smarttags" w:element="place">
        <w:smartTag w:uri="urn:schemas-microsoft-com:office:smarttags" w:element="State">
          <w:r w:rsidRPr="0002200C">
            <w:t>California</w:t>
          </w:r>
        </w:smartTag>
      </w:smartTag>
      <w:r w:rsidRPr="0002200C">
        <w:t xml:space="preserve">, as well as Employer’s Liability insurance in the minimum amount of $1,000,000 per accident for bodily injury or disease.  </w:t>
      </w:r>
    </w:p>
    <w:p w14:paraId="63840C11" w14:textId="77777777" w:rsidR="00534BBD" w:rsidRPr="0002200C" w:rsidRDefault="00534BBD" w:rsidP="00670F68">
      <w:pPr>
        <w:spacing w:line="360" w:lineRule="auto"/>
        <w:ind w:left="360"/>
        <w:jc w:val="both"/>
        <w:rPr>
          <w:u w:val="single"/>
        </w:rPr>
      </w:pPr>
    </w:p>
    <w:p w14:paraId="5BCFD485" w14:textId="2999B66A" w:rsidR="00534BBD" w:rsidRPr="0002200C" w:rsidRDefault="00534BBD" w:rsidP="00670F68">
      <w:pPr>
        <w:spacing w:line="360" w:lineRule="auto"/>
        <w:ind w:left="360"/>
        <w:jc w:val="both"/>
      </w:pPr>
      <w:r w:rsidRPr="0002200C">
        <w:rPr>
          <w:u w:val="single"/>
        </w:rPr>
        <w:t>Professional Liability</w:t>
      </w:r>
      <w:r w:rsidRPr="0002200C">
        <w:t xml:space="preserve"> (</w:t>
      </w:r>
      <w:r w:rsidR="002460D1">
        <w:t>CONSULTANT</w:t>
      </w:r>
      <w:r w:rsidRPr="0002200C">
        <w:t>/Professional services standard agreement only)</w:t>
      </w:r>
    </w:p>
    <w:p w14:paraId="020645F2" w14:textId="77777777" w:rsidR="001B0953" w:rsidRDefault="00534BBD">
      <w:pPr>
        <w:spacing w:line="360" w:lineRule="auto"/>
        <w:ind w:left="360"/>
        <w:jc w:val="both"/>
      </w:pPr>
      <w:r w:rsidRPr="0002200C">
        <w:t xml:space="preserve">If </w:t>
      </w:r>
      <w:r w:rsidR="002460D1">
        <w:t>CONSULTANT</w:t>
      </w:r>
      <w:r w:rsidRPr="0002200C">
        <w:t xml:space="preserve"> is</w:t>
      </w:r>
      <w:r>
        <w:t xml:space="preserve"> a state-licensed architect, engineer, </w:t>
      </w:r>
      <w:r w:rsidR="002460D1">
        <w:t>CONSULTANT</w:t>
      </w:r>
      <w:r>
        <w:t>, counselor, attorney, accountant, medical provider, and/or other professional</w:t>
      </w:r>
    </w:p>
    <w:p w14:paraId="70421A78" w14:textId="77777777" w:rsidR="001B0953" w:rsidRDefault="001B0953">
      <w:r>
        <w:br w:type="page"/>
      </w:r>
    </w:p>
    <w:p w14:paraId="4F18E52E" w14:textId="113D9203" w:rsidR="00534BBD" w:rsidRPr="00917A36" w:rsidRDefault="00534BBD" w:rsidP="00670F68">
      <w:pPr>
        <w:spacing w:line="360" w:lineRule="auto"/>
        <w:ind w:left="360"/>
        <w:jc w:val="both"/>
      </w:pPr>
      <w:r>
        <w:lastRenderedPageBreak/>
        <w:t xml:space="preserve">licensed by the State of California to practice a profession, </w:t>
      </w:r>
      <w:r w:rsidR="002460D1">
        <w:t>CONSULTANT</w:t>
      </w:r>
      <w:r w:rsidRPr="009002E9">
        <w:t xml:space="preserve"> shall provid</w:t>
      </w:r>
      <w:r>
        <w:t>e</w:t>
      </w:r>
      <w:r w:rsidRPr="009002E9">
        <w:t xml:space="preserve"> and maintain in full force and effect while providing services pursuant to this </w:t>
      </w:r>
      <w:r>
        <w:t xml:space="preserve">contract a </w:t>
      </w:r>
      <w:r w:rsidRPr="009002E9">
        <w:t xml:space="preserve">professional liability policy (also known as </w:t>
      </w:r>
      <w:r>
        <w:t>E</w:t>
      </w:r>
      <w:r w:rsidRPr="009002E9">
        <w:t xml:space="preserve">rrors and </w:t>
      </w:r>
      <w:r>
        <w:t>O</w:t>
      </w:r>
      <w:r w:rsidRPr="009002E9">
        <w:t xml:space="preserve">missions or </w:t>
      </w:r>
      <w:r>
        <w:t>M</w:t>
      </w:r>
      <w:r w:rsidRPr="009002E9">
        <w:t>a</w:t>
      </w:r>
      <w:r>
        <w:t xml:space="preserve">lpractice liability insurance) with single limits of liability not less than </w:t>
      </w:r>
      <w:r w:rsidRPr="00F82152">
        <w:t>$1,000,000 per claim and $2,000,000 aggregate on a claims</w:t>
      </w:r>
      <w:r>
        <w:t xml:space="preserve"> made basis.  However, if coverage is written on a claims made basis, the policy shall be endorsed to provide coverage for at least three years from termination of agreement.</w:t>
      </w:r>
    </w:p>
    <w:p w14:paraId="091D0103" w14:textId="77777777" w:rsidR="00534BBD" w:rsidRDefault="00534BBD" w:rsidP="00670F68">
      <w:pPr>
        <w:spacing w:line="360" w:lineRule="auto"/>
        <w:jc w:val="both"/>
      </w:pPr>
    </w:p>
    <w:p w14:paraId="38BC87C3" w14:textId="4457902A" w:rsidR="00534BBD" w:rsidRPr="00783C22" w:rsidRDefault="00534BBD" w:rsidP="00670F68">
      <w:pPr>
        <w:spacing w:line="360" w:lineRule="auto"/>
        <w:jc w:val="both"/>
      </w:pPr>
      <w:r w:rsidRPr="00783C22">
        <w:t xml:space="preserve">If </w:t>
      </w:r>
      <w:r w:rsidR="002460D1" w:rsidRPr="00783C22">
        <w:t>CONSULTANT</w:t>
      </w:r>
      <w:r w:rsidRPr="00783C22">
        <w:t xml:space="preserve"> maintains higher limits than the minimums shown above, </w:t>
      </w:r>
      <w:r w:rsidR="00CD365C" w:rsidRPr="00783C22">
        <w:t>Commission</w:t>
      </w:r>
      <w:r w:rsidRPr="00783C22">
        <w:t xml:space="preserve"> shall be entitled to coverage for the higher limits maintained by </w:t>
      </w:r>
      <w:r w:rsidR="002460D1" w:rsidRPr="00783C22">
        <w:t>CONSULTANT</w:t>
      </w:r>
      <w:r w:rsidRPr="00783C22">
        <w:t>.</w:t>
      </w:r>
    </w:p>
    <w:p w14:paraId="33B11C1B" w14:textId="77777777" w:rsidR="00534BBD" w:rsidRPr="00783C22" w:rsidRDefault="00534BBD" w:rsidP="00670F68">
      <w:pPr>
        <w:spacing w:line="360" w:lineRule="auto"/>
        <w:jc w:val="both"/>
      </w:pPr>
    </w:p>
    <w:p w14:paraId="2C90109A" w14:textId="37C31516" w:rsidR="00534BBD" w:rsidRPr="00783C22" w:rsidRDefault="00534BBD" w:rsidP="00670F68">
      <w:pPr>
        <w:spacing w:line="360" w:lineRule="auto"/>
        <w:jc w:val="both"/>
      </w:pPr>
      <w:r w:rsidRPr="00783C22">
        <w:t>All such insurance coverage, except professional liability insurance, shall be provided on an “occurrence” basis, rather than a “claims made” basis</w:t>
      </w:r>
      <w:r w:rsidR="001D26DC" w:rsidRPr="00783C22">
        <w:t xml:space="preserve">. </w:t>
      </w:r>
    </w:p>
    <w:p w14:paraId="2DD9A0CA" w14:textId="77777777" w:rsidR="00534BBD" w:rsidRPr="00783C22" w:rsidRDefault="00534BBD" w:rsidP="00670F68">
      <w:pPr>
        <w:spacing w:line="360" w:lineRule="auto"/>
        <w:jc w:val="both"/>
      </w:pPr>
    </w:p>
    <w:p w14:paraId="10FA2BBE" w14:textId="77777777" w:rsidR="00534BBD" w:rsidRPr="00783C22" w:rsidRDefault="00534BBD" w:rsidP="00670F68">
      <w:pPr>
        <w:spacing w:line="360" w:lineRule="auto"/>
        <w:jc w:val="both"/>
        <w:outlineLvl w:val="0"/>
        <w:rPr>
          <w:u w:val="single"/>
        </w:rPr>
      </w:pPr>
      <w:r w:rsidRPr="00783C22">
        <w:rPr>
          <w:u w:val="single"/>
        </w:rPr>
        <w:t>Endorsements:  Additional Insureds</w:t>
      </w:r>
    </w:p>
    <w:p w14:paraId="686CE100" w14:textId="06D52EC8" w:rsidR="00534BBD" w:rsidRPr="00783C22" w:rsidRDefault="00534BBD" w:rsidP="00670F68">
      <w:pPr>
        <w:spacing w:line="360" w:lineRule="auto"/>
        <w:jc w:val="both"/>
      </w:pPr>
      <w:r w:rsidRPr="00783C22">
        <w:t xml:space="preserve">The Commercial General Liability and Automobile Liability policies shall include, or be endorsed to include “Tehama </w:t>
      </w:r>
      <w:r w:rsidR="00CD365C" w:rsidRPr="00783C22">
        <w:t>Commission</w:t>
      </w:r>
      <w:r w:rsidRPr="00783C22">
        <w:t>, its elected officials, officers, employees and volunteers” as an additional insured</w:t>
      </w:r>
      <w:r w:rsidR="00A548F8" w:rsidRPr="00783C22">
        <w:t xml:space="preserve">. </w:t>
      </w:r>
    </w:p>
    <w:p w14:paraId="3400BA0E" w14:textId="77777777" w:rsidR="00534BBD" w:rsidRPr="00783C22" w:rsidRDefault="00534BBD" w:rsidP="00670F68">
      <w:pPr>
        <w:spacing w:line="360" w:lineRule="auto"/>
        <w:jc w:val="both"/>
        <w:outlineLvl w:val="0"/>
      </w:pPr>
    </w:p>
    <w:p w14:paraId="1AEE8AFF" w14:textId="646E219F" w:rsidR="00534BBD" w:rsidRPr="00783C22" w:rsidRDefault="00534BBD" w:rsidP="00670F68">
      <w:pPr>
        <w:spacing w:line="360" w:lineRule="auto"/>
        <w:jc w:val="both"/>
        <w:outlineLvl w:val="0"/>
      </w:pPr>
      <w:r w:rsidRPr="00783C22">
        <w:t>The certificate holder shall be “</w:t>
      </w:r>
      <w:r w:rsidR="00CD365C" w:rsidRPr="00783C22">
        <w:t>Commission</w:t>
      </w:r>
      <w:r w:rsidRPr="00783C22">
        <w:t xml:space="preserve"> of </w:t>
      </w:r>
      <w:smartTag w:uri="urn:schemas-microsoft-com:office:smarttags" w:element="PlaceName">
        <w:r w:rsidRPr="00783C22">
          <w:t>Tehama</w:t>
        </w:r>
      </w:smartTag>
      <w:r w:rsidRPr="00783C22">
        <w:t>.”</w:t>
      </w:r>
    </w:p>
    <w:p w14:paraId="4C571F4B" w14:textId="77777777" w:rsidR="00534BBD" w:rsidRPr="00783C22" w:rsidRDefault="00534BBD" w:rsidP="00670F68">
      <w:pPr>
        <w:spacing w:line="360" w:lineRule="auto"/>
        <w:jc w:val="both"/>
        <w:rPr>
          <w:u w:val="single"/>
        </w:rPr>
      </w:pPr>
    </w:p>
    <w:p w14:paraId="45586519" w14:textId="77777777" w:rsidR="00534BBD" w:rsidRPr="00783C22" w:rsidRDefault="00534BBD" w:rsidP="00670F68">
      <w:pPr>
        <w:spacing w:line="360" w:lineRule="auto"/>
        <w:jc w:val="both"/>
        <w:outlineLvl w:val="0"/>
        <w:rPr>
          <w:u w:val="single"/>
        </w:rPr>
      </w:pPr>
      <w:r w:rsidRPr="00783C22">
        <w:rPr>
          <w:u w:val="single"/>
        </w:rPr>
        <w:t>Deductibles and Self-Insured Retentions</w:t>
      </w:r>
    </w:p>
    <w:p w14:paraId="6B2B5CA7" w14:textId="7BDB0B55" w:rsidR="00534BBD" w:rsidRPr="00783C22" w:rsidRDefault="00534BBD" w:rsidP="00670F68">
      <w:pPr>
        <w:spacing w:line="360" w:lineRule="auto"/>
        <w:jc w:val="both"/>
      </w:pPr>
      <w:r w:rsidRPr="00783C22">
        <w:t xml:space="preserve">Any deductibles or self-insured retentions of $25,000 or more must be declared to, and approved by, the </w:t>
      </w:r>
      <w:r w:rsidR="00CD365C" w:rsidRPr="00783C22">
        <w:t>Commission</w:t>
      </w:r>
      <w:r w:rsidR="00A548F8" w:rsidRPr="00783C22">
        <w:t xml:space="preserve">. </w:t>
      </w:r>
      <w:r w:rsidRPr="00783C22">
        <w:t xml:space="preserve">The deductible and/or self-insured retentions will not limit or apply to </w:t>
      </w:r>
      <w:r w:rsidR="002460D1" w:rsidRPr="00783C22">
        <w:t>CONSULTANT</w:t>
      </w:r>
      <w:r w:rsidRPr="00783C22">
        <w:t xml:space="preserve">’s liability to </w:t>
      </w:r>
      <w:r w:rsidR="00CD365C" w:rsidRPr="00783C22">
        <w:t>Commission</w:t>
      </w:r>
      <w:r w:rsidRPr="00783C22">
        <w:t xml:space="preserve"> and will be the sole responsibility of </w:t>
      </w:r>
      <w:r w:rsidR="002460D1" w:rsidRPr="00783C22">
        <w:t>CONSULTANT</w:t>
      </w:r>
      <w:r w:rsidRPr="00783C22">
        <w:t>.</w:t>
      </w:r>
    </w:p>
    <w:p w14:paraId="798E5412" w14:textId="77777777" w:rsidR="00534BBD" w:rsidRPr="00783C22" w:rsidRDefault="00534BBD" w:rsidP="00670F68">
      <w:pPr>
        <w:spacing w:line="360" w:lineRule="auto"/>
        <w:jc w:val="both"/>
      </w:pPr>
    </w:p>
    <w:p w14:paraId="643C3BD6" w14:textId="77777777" w:rsidR="00534BBD" w:rsidRPr="00783C22" w:rsidRDefault="00534BBD" w:rsidP="00670F68">
      <w:pPr>
        <w:spacing w:line="360" w:lineRule="auto"/>
        <w:jc w:val="both"/>
        <w:outlineLvl w:val="0"/>
        <w:rPr>
          <w:u w:val="single"/>
        </w:rPr>
      </w:pPr>
      <w:r w:rsidRPr="00783C22">
        <w:rPr>
          <w:u w:val="single"/>
        </w:rPr>
        <w:t>Primary Insurance Coverage</w:t>
      </w:r>
    </w:p>
    <w:p w14:paraId="55FECE7D" w14:textId="12ADD571" w:rsidR="00C5705D" w:rsidRPr="00783C22" w:rsidRDefault="00534BBD" w:rsidP="00C24DA3">
      <w:pPr>
        <w:spacing w:line="360" w:lineRule="auto"/>
        <w:jc w:val="both"/>
        <w:rPr>
          <w:u w:val="single"/>
        </w:rPr>
      </w:pPr>
      <w:r w:rsidRPr="00783C22">
        <w:t xml:space="preserve">For any claims related to this project, </w:t>
      </w:r>
      <w:r w:rsidR="002460D1" w:rsidRPr="00783C22">
        <w:t>CONSULTANT</w:t>
      </w:r>
      <w:r w:rsidRPr="00783C22">
        <w:t xml:space="preserve">’s insurance coverage shall be primary insurance as respects the </w:t>
      </w:r>
      <w:r w:rsidR="00CD365C" w:rsidRPr="00783C22">
        <w:t>Commission</w:t>
      </w:r>
      <w:r w:rsidRPr="00783C22">
        <w:t xml:space="preserve">, its officers, officials, </w:t>
      </w:r>
      <w:r w:rsidR="001D26DC" w:rsidRPr="00783C22">
        <w:t>employees,</w:t>
      </w:r>
      <w:r w:rsidRPr="00783C22">
        <w:t xml:space="preserve"> and volunteers.  Any insurance or self-insurance maintained by the </w:t>
      </w:r>
      <w:r w:rsidR="00CD365C" w:rsidRPr="00783C22">
        <w:t>Commission</w:t>
      </w:r>
      <w:r w:rsidRPr="00783C22">
        <w:t xml:space="preserve">, its officers, officials, </w:t>
      </w:r>
      <w:r w:rsidR="001D26DC" w:rsidRPr="00783C22">
        <w:t>employees,</w:t>
      </w:r>
      <w:r w:rsidRPr="00783C22">
        <w:t xml:space="preserve"> or volunteers shall be excess of </w:t>
      </w:r>
      <w:r w:rsidR="002460D1" w:rsidRPr="00783C22">
        <w:t>CONSULTANT</w:t>
      </w:r>
      <w:r w:rsidRPr="00783C22">
        <w:t>’s insurance and shall not contribute with it.</w:t>
      </w:r>
    </w:p>
    <w:p w14:paraId="2B447524" w14:textId="77777777" w:rsidR="00534BBD" w:rsidRPr="00783C22" w:rsidRDefault="00534BBD" w:rsidP="00670F68">
      <w:pPr>
        <w:spacing w:line="360" w:lineRule="auto"/>
        <w:jc w:val="both"/>
        <w:outlineLvl w:val="0"/>
        <w:rPr>
          <w:u w:val="single"/>
        </w:rPr>
      </w:pPr>
      <w:r w:rsidRPr="00783C22">
        <w:rPr>
          <w:u w:val="single"/>
        </w:rPr>
        <w:lastRenderedPageBreak/>
        <w:t>Coverage Cancellation</w:t>
      </w:r>
    </w:p>
    <w:p w14:paraId="7C4EB6D9" w14:textId="4A7C97DF" w:rsidR="00534BBD" w:rsidRPr="00783C22" w:rsidRDefault="00534BBD" w:rsidP="00670F68">
      <w:pPr>
        <w:spacing w:line="360" w:lineRule="auto"/>
        <w:jc w:val="both"/>
      </w:pPr>
      <w:r w:rsidRPr="00783C22">
        <w:t xml:space="preserve">Each insurance policy required herein shall be endorsed to state that “coverage shall not be reduced or canceled without 30 days’ prior written notice certain to the </w:t>
      </w:r>
      <w:r w:rsidR="00CD365C" w:rsidRPr="00783C22">
        <w:t>Commission</w:t>
      </w:r>
      <w:r w:rsidRPr="00783C22">
        <w:t xml:space="preserve">.”  </w:t>
      </w:r>
    </w:p>
    <w:p w14:paraId="72C99BB0" w14:textId="77777777" w:rsidR="00534BBD" w:rsidRPr="00783C22" w:rsidRDefault="00534BBD" w:rsidP="00670F68">
      <w:pPr>
        <w:spacing w:line="360" w:lineRule="auto"/>
        <w:jc w:val="both"/>
        <w:outlineLvl w:val="0"/>
        <w:rPr>
          <w:u w:val="single"/>
        </w:rPr>
      </w:pPr>
      <w:r w:rsidRPr="00783C22">
        <w:rPr>
          <w:u w:val="single"/>
        </w:rPr>
        <w:t>Acceptability of Insurers</w:t>
      </w:r>
    </w:p>
    <w:p w14:paraId="3B66AEB1" w14:textId="125CF66C" w:rsidR="00534BBD" w:rsidRPr="00783C22" w:rsidRDefault="002460D1" w:rsidP="00670F68">
      <w:pPr>
        <w:spacing w:line="360" w:lineRule="auto"/>
        <w:jc w:val="both"/>
      </w:pPr>
      <w:r w:rsidRPr="00783C22">
        <w:t>CONSULTANT</w:t>
      </w:r>
      <w:r w:rsidR="00534BBD" w:rsidRPr="00783C22">
        <w:t xml:space="preserve">’s insurance shall be placed with an insurance carrier holding a current A.M. Best &amp; Company’s rating of not less than A:VII unless otherwise acceptable to the </w:t>
      </w:r>
      <w:r w:rsidR="00CD365C" w:rsidRPr="00783C22">
        <w:t>Commission</w:t>
      </w:r>
      <w:r w:rsidR="00534BBD" w:rsidRPr="00783C22">
        <w:t xml:space="preserve">.  The </w:t>
      </w:r>
      <w:r w:rsidR="00CD365C" w:rsidRPr="00783C22">
        <w:t>Commission</w:t>
      </w:r>
      <w:r w:rsidR="00534BBD" w:rsidRPr="00783C22">
        <w:t xml:space="preserve"> reserves the right to require rating verification.  </w:t>
      </w:r>
      <w:r w:rsidRPr="00783C22">
        <w:t>CONSULTANT</w:t>
      </w:r>
      <w:r w:rsidR="00534BBD" w:rsidRPr="00783C22">
        <w:t xml:space="preserve"> shall ensure that the insurance carrier shall be authorized to transact business in the State of </w:t>
      </w:r>
      <w:smartTag w:uri="urn:schemas-microsoft-com:office:smarttags" w:element="place">
        <w:smartTag w:uri="urn:schemas-microsoft-com:office:smarttags" w:element="State">
          <w:r w:rsidR="00534BBD" w:rsidRPr="00783C22">
            <w:t>California</w:t>
          </w:r>
        </w:smartTag>
      </w:smartTag>
      <w:r w:rsidR="00534BBD" w:rsidRPr="00783C22">
        <w:t>.</w:t>
      </w:r>
    </w:p>
    <w:p w14:paraId="6D488A99" w14:textId="77777777" w:rsidR="00534BBD" w:rsidRPr="00783C22" w:rsidRDefault="00534BBD" w:rsidP="00670F68">
      <w:pPr>
        <w:spacing w:line="360" w:lineRule="auto"/>
        <w:jc w:val="both"/>
      </w:pPr>
    </w:p>
    <w:p w14:paraId="12FA08AB" w14:textId="25836CCA" w:rsidR="00534BBD" w:rsidRPr="00783C22" w:rsidRDefault="00534BBD" w:rsidP="00670F68">
      <w:pPr>
        <w:spacing w:line="360" w:lineRule="auto"/>
        <w:jc w:val="both"/>
        <w:outlineLvl w:val="0"/>
        <w:rPr>
          <w:u w:val="single"/>
        </w:rPr>
      </w:pPr>
      <w:r w:rsidRPr="00783C22">
        <w:rPr>
          <w:u w:val="single"/>
        </w:rPr>
        <w:t>S</w:t>
      </w:r>
      <w:r w:rsidR="00770FDF" w:rsidRPr="00783C22">
        <w:rPr>
          <w:u w:val="single"/>
        </w:rPr>
        <w:t>UB</w:t>
      </w:r>
      <w:r w:rsidR="002460D1" w:rsidRPr="00783C22">
        <w:rPr>
          <w:u w:val="single"/>
        </w:rPr>
        <w:t>CONSULTANT</w:t>
      </w:r>
      <w:r w:rsidRPr="00783C22">
        <w:rPr>
          <w:u w:val="single"/>
        </w:rPr>
        <w:t>s</w:t>
      </w:r>
    </w:p>
    <w:p w14:paraId="1D2B4FFB" w14:textId="6BB9143E" w:rsidR="00534BBD" w:rsidRPr="00783C22" w:rsidRDefault="002460D1" w:rsidP="00670F68">
      <w:pPr>
        <w:spacing w:line="360" w:lineRule="auto"/>
        <w:jc w:val="both"/>
      </w:pPr>
      <w:r w:rsidRPr="00783C22">
        <w:t>CONSULTANT</w:t>
      </w:r>
      <w:r w:rsidR="00534BBD" w:rsidRPr="00783C22">
        <w:t xml:space="preserve"> shall require and verify that all </w:t>
      </w:r>
      <w:r w:rsidR="00233D96" w:rsidRPr="00783C22">
        <w:t>S</w:t>
      </w:r>
      <w:r w:rsidR="00770FDF" w:rsidRPr="00783C22">
        <w:t>UB</w:t>
      </w:r>
      <w:r w:rsidRPr="00783C22">
        <w:t>CONSULTANT</w:t>
      </w:r>
      <w:r w:rsidR="00534BBD" w:rsidRPr="00783C22">
        <w:t>s maintain insurance that meets all the requirements stated herein.</w:t>
      </w:r>
    </w:p>
    <w:p w14:paraId="21A80B14" w14:textId="77777777" w:rsidR="00534BBD" w:rsidRPr="00783C22" w:rsidRDefault="00534BBD" w:rsidP="00670F68">
      <w:pPr>
        <w:spacing w:line="360" w:lineRule="auto"/>
        <w:jc w:val="both"/>
      </w:pPr>
    </w:p>
    <w:p w14:paraId="46BDCF43" w14:textId="77777777" w:rsidR="00534BBD" w:rsidRPr="00783C22" w:rsidRDefault="00534BBD" w:rsidP="00670F68">
      <w:pPr>
        <w:spacing w:line="360" w:lineRule="auto"/>
        <w:jc w:val="both"/>
        <w:outlineLvl w:val="0"/>
        <w:rPr>
          <w:u w:val="single"/>
        </w:rPr>
      </w:pPr>
      <w:r w:rsidRPr="00783C22">
        <w:rPr>
          <w:u w:val="single"/>
        </w:rPr>
        <w:t>Material Breach</w:t>
      </w:r>
    </w:p>
    <w:p w14:paraId="7AC524BD" w14:textId="3F808614" w:rsidR="00534BBD" w:rsidRPr="00783C22" w:rsidRDefault="00534BBD" w:rsidP="00670F68">
      <w:pPr>
        <w:spacing w:line="360" w:lineRule="auto"/>
        <w:jc w:val="both"/>
      </w:pPr>
      <w:r w:rsidRPr="00783C22">
        <w:t xml:space="preserve">If for any reason, </w:t>
      </w:r>
      <w:r w:rsidR="002460D1" w:rsidRPr="00783C22">
        <w:t>CONSULTANT</w:t>
      </w:r>
      <w:r w:rsidRPr="00783C22">
        <w:t xml:space="preserve"> fails to maintain insurance coverage or to provide evidence of renewal, the same shall be deemed a material breach of contract.  </w:t>
      </w:r>
      <w:r w:rsidR="00CD365C" w:rsidRPr="00783C22">
        <w:t>Commission</w:t>
      </w:r>
      <w:r w:rsidRPr="00783C22">
        <w:t xml:space="preserve">, in its sole option, may terminate the contract and obtain damages from </w:t>
      </w:r>
      <w:r w:rsidR="002460D1" w:rsidRPr="00783C22">
        <w:t>CONSULTANT</w:t>
      </w:r>
      <w:r w:rsidRPr="00783C22">
        <w:t xml:space="preserve"> resulting from breach.  Alternatively, </w:t>
      </w:r>
      <w:r w:rsidR="00CD365C" w:rsidRPr="00783C22">
        <w:t>Commission</w:t>
      </w:r>
      <w:r w:rsidRPr="00783C22">
        <w:t xml:space="preserve"> may purchase such required insurance coverage, and without further notice to </w:t>
      </w:r>
      <w:r w:rsidR="002460D1" w:rsidRPr="00783C22">
        <w:t>CONSULTANT</w:t>
      </w:r>
      <w:r w:rsidRPr="00783C22">
        <w:t xml:space="preserve">, </w:t>
      </w:r>
      <w:r w:rsidR="00CD365C" w:rsidRPr="00783C22">
        <w:t>Commission</w:t>
      </w:r>
      <w:r w:rsidRPr="00783C22">
        <w:t xml:space="preserve"> may deduct from sums due to </w:t>
      </w:r>
      <w:r w:rsidR="002460D1" w:rsidRPr="00783C22">
        <w:t>CONSULTANT</w:t>
      </w:r>
      <w:r w:rsidRPr="00783C22">
        <w:t xml:space="preserve"> any premium costs advanced by </w:t>
      </w:r>
      <w:r w:rsidR="00CD365C" w:rsidRPr="00783C22">
        <w:t>Commission</w:t>
      </w:r>
      <w:r w:rsidR="002460D1" w:rsidRPr="00783C22">
        <w:t xml:space="preserve"> </w:t>
      </w:r>
      <w:r w:rsidRPr="00783C22">
        <w:t xml:space="preserve">for such insurance. </w:t>
      </w:r>
    </w:p>
    <w:p w14:paraId="781F59F9" w14:textId="77777777" w:rsidR="00534BBD" w:rsidRPr="00783C22" w:rsidRDefault="00534BBD" w:rsidP="00670F68">
      <w:pPr>
        <w:spacing w:line="360" w:lineRule="auto"/>
        <w:jc w:val="both"/>
        <w:rPr>
          <w:u w:val="single"/>
        </w:rPr>
      </w:pPr>
    </w:p>
    <w:p w14:paraId="65CB9446" w14:textId="77777777" w:rsidR="00534BBD" w:rsidRPr="00783C22" w:rsidRDefault="00534BBD" w:rsidP="00670F68">
      <w:pPr>
        <w:spacing w:line="360" w:lineRule="auto"/>
        <w:jc w:val="both"/>
        <w:outlineLvl w:val="0"/>
        <w:rPr>
          <w:u w:val="single"/>
        </w:rPr>
      </w:pPr>
      <w:r w:rsidRPr="00783C22">
        <w:rPr>
          <w:u w:val="single"/>
        </w:rPr>
        <w:t>Policy Obligations</w:t>
      </w:r>
    </w:p>
    <w:p w14:paraId="4E043425" w14:textId="052539D9" w:rsidR="00534BBD" w:rsidRPr="00783C22" w:rsidRDefault="002460D1" w:rsidP="00670F68">
      <w:pPr>
        <w:spacing w:line="360" w:lineRule="auto"/>
        <w:jc w:val="both"/>
      </w:pPr>
      <w:r w:rsidRPr="00783C22">
        <w:t>CONSULTANT</w:t>
      </w:r>
      <w:r w:rsidR="00534BBD" w:rsidRPr="00783C22">
        <w:t>’s indemnity and other obligations shall not be limited by the foregoing insurance requirements.</w:t>
      </w:r>
    </w:p>
    <w:p w14:paraId="12514CCE" w14:textId="77777777" w:rsidR="00534BBD" w:rsidRPr="00783C22" w:rsidRDefault="00534BBD" w:rsidP="00670F68">
      <w:pPr>
        <w:spacing w:line="360" w:lineRule="auto"/>
        <w:jc w:val="both"/>
        <w:rPr>
          <w:u w:val="single"/>
        </w:rPr>
      </w:pPr>
    </w:p>
    <w:p w14:paraId="53FC3AC0" w14:textId="77777777" w:rsidR="00534BBD" w:rsidRPr="00783C22" w:rsidRDefault="00534BBD" w:rsidP="00670F68">
      <w:pPr>
        <w:spacing w:line="360" w:lineRule="auto"/>
        <w:jc w:val="both"/>
        <w:outlineLvl w:val="0"/>
        <w:rPr>
          <w:u w:val="single"/>
        </w:rPr>
      </w:pPr>
      <w:r w:rsidRPr="00783C22">
        <w:rPr>
          <w:u w:val="single"/>
        </w:rPr>
        <w:t>Verification of Coverage</w:t>
      </w:r>
    </w:p>
    <w:p w14:paraId="0E66AF45" w14:textId="3148FDFD" w:rsidR="00534BBD" w:rsidRPr="00783C22" w:rsidRDefault="002460D1" w:rsidP="00670F68">
      <w:pPr>
        <w:spacing w:line="360" w:lineRule="auto"/>
        <w:jc w:val="both"/>
      </w:pPr>
      <w:r w:rsidRPr="00783C22">
        <w:t>CONSULTANT</w:t>
      </w:r>
      <w:r w:rsidR="00534BBD" w:rsidRPr="00783C22">
        <w:t xml:space="preserve"> shall furnish </w:t>
      </w:r>
      <w:r w:rsidR="00CD365C" w:rsidRPr="00783C22">
        <w:t>Commission</w:t>
      </w:r>
      <w:r w:rsidR="00534BBD" w:rsidRPr="00783C22">
        <w:t xml:space="preserve"> with original certificates and endorsements effecting coverage required herein.  All certificates and endorsements shall be received and approved by the </w:t>
      </w:r>
      <w:r w:rsidR="00CD365C" w:rsidRPr="00783C22">
        <w:t>Commission</w:t>
      </w:r>
      <w:r w:rsidR="00534BBD" w:rsidRPr="00783C22">
        <w:t xml:space="preserve"> prior to </w:t>
      </w:r>
      <w:r w:rsidR="00CD365C" w:rsidRPr="00783C22">
        <w:t>Commission</w:t>
      </w:r>
      <w:r w:rsidR="00534BBD" w:rsidRPr="00783C22">
        <w:t xml:space="preserve"> signing the agreement and before work commences.  However, failure to do so shall not operate as a waiver of these insurance requirements.</w:t>
      </w:r>
    </w:p>
    <w:p w14:paraId="145EA38A" w14:textId="77777777" w:rsidR="00534BBD" w:rsidRPr="00783C22" w:rsidRDefault="00534BBD" w:rsidP="00670F68">
      <w:pPr>
        <w:spacing w:line="360" w:lineRule="auto"/>
        <w:jc w:val="both"/>
      </w:pPr>
    </w:p>
    <w:p w14:paraId="46EB3533" w14:textId="5D031AAA" w:rsidR="0001325E" w:rsidRDefault="00534BBD">
      <w:pPr>
        <w:spacing w:after="200" w:line="276" w:lineRule="auto"/>
        <w:jc w:val="both"/>
        <w:rPr>
          <w:rFonts w:asciiTheme="majorHAnsi" w:hAnsiTheme="majorHAnsi"/>
        </w:rPr>
      </w:pPr>
      <w:r w:rsidRPr="00783C22">
        <w:lastRenderedPageBreak/>
        <w:t xml:space="preserve">The </w:t>
      </w:r>
      <w:r w:rsidR="00CD365C" w:rsidRPr="00783C22">
        <w:t>Commission</w:t>
      </w:r>
      <w:r w:rsidRPr="00783C22">
        <w:t xml:space="preserve"> reserves the right to require complete, certified copies of all required insurance policies, including endorsements effecting the coverage required by these specifications at any time.</w:t>
      </w:r>
      <w:r>
        <w:t xml:space="preserve"> </w:t>
      </w:r>
    </w:p>
    <w:p w14:paraId="1786830A" w14:textId="24AF0AAE" w:rsidR="00CC5836" w:rsidRDefault="00CC5836">
      <w:pPr>
        <w:rPr>
          <w:rFonts w:asciiTheme="majorHAnsi" w:hAnsiTheme="majorHAnsi"/>
        </w:rPr>
      </w:pPr>
      <w:r>
        <w:rPr>
          <w:rFonts w:asciiTheme="majorHAnsi" w:hAnsiTheme="majorHAnsi"/>
        </w:rPr>
        <w:br w:type="page"/>
      </w:r>
    </w:p>
    <w:p w14:paraId="6A396ED4" w14:textId="611127E3" w:rsidR="00CC5836" w:rsidRPr="00C24DA3" w:rsidRDefault="00CC5836" w:rsidP="00C24DA3">
      <w:pPr>
        <w:spacing w:after="200" w:line="276" w:lineRule="auto"/>
        <w:jc w:val="center"/>
      </w:pPr>
      <w:r w:rsidRPr="00C24DA3">
        <w:lastRenderedPageBreak/>
        <w:t>Exhibit B</w:t>
      </w:r>
    </w:p>
    <w:p w14:paraId="6A3417B0" w14:textId="7D1C917F" w:rsidR="00CC5836" w:rsidRPr="00C24DA3" w:rsidRDefault="00CC5836" w:rsidP="00C24DA3">
      <w:pPr>
        <w:spacing w:after="200" w:line="276" w:lineRule="auto"/>
        <w:jc w:val="center"/>
      </w:pPr>
      <w:r w:rsidRPr="00C24DA3">
        <w:t>Scope of Work</w:t>
      </w:r>
    </w:p>
    <w:p w14:paraId="36B2B003" w14:textId="77777777" w:rsidR="00C24DA3" w:rsidRPr="00C24DA3" w:rsidRDefault="00C24DA3" w:rsidP="00C24DA3">
      <w:pPr>
        <w:spacing w:line="360" w:lineRule="auto"/>
        <w:jc w:val="center"/>
      </w:pPr>
      <w:r w:rsidRPr="00C24DA3">
        <w:t>Exhibit C</w:t>
      </w:r>
    </w:p>
    <w:p w14:paraId="001729AD" w14:textId="77777777" w:rsidR="00C24DA3" w:rsidRPr="00C24DA3" w:rsidRDefault="00C24DA3" w:rsidP="00C24DA3">
      <w:pPr>
        <w:spacing w:line="360" w:lineRule="auto"/>
        <w:jc w:val="center"/>
      </w:pPr>
      <w:r w:rsidRPr="00C24DA3">
        <w:t>Fee Schedule</w:t>
      </w:r>
    </w:p>
    <w:p w14:paraId="13A6895F" w14:textId="77777777" w:rsidR="00C24DA3" w:rsidRPr="00C24DA3" w:rsidRDefault="00C24DA3" w:rsidP="00C24DA3">
      <w:pPr>
        <w:spacing w:line="360" w:lineRule="auto"/>
        <w:ind w:left="360"/>
        <w:jc w:val="center"/>
      </w:pPr>
      <w:r w:rsidRPr="00C24DA3">
        <w:t>(TBD)</w:t>
      </w:r>
    </w:p>
    <w:p w14:paraId="76F0CBD7" w14:textId="77777777" w:rsidR="00C24DA3" w:rsidRDefault="00C24DA3" w:rsidP="00C24DA3">
      <w:r>
        <w:br w:type="page"/>
      </w:r>
    </w:p>
    <w:p w14:paraId="4C06A9F3" w14:textId="68A6CBA6" w:rsidR="00C24DA3" w:rsidRPr="00670F68" w:rsidRDefault="00C24DA3" w:rsidP="00670F68">
      <w:pPr>
        <w:spacing w:after="200" w:line="276" w:lineRule="auto"/>
        <w:jc w:val="center"/>
        <w:rPr>
          <w:rFonts w:asciiTheme="majorHAnsi" w:hAnsiTheme="majorHAnsi"/>
        </w:rPr>
      </w:pPr>
    </w:p>
    <w:sectPr w:rsidR="00C24DA3" w:rsidRPr="00670F68" w:rsidSect="005866FC">
      <w:headerReference w:type="default" r:id="rId25"/>
      <w:headerReference w:type="first" r:id="rId2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essica Riske-Gomez" w:date="2020-03-04T14:24:00Z" w:initials="JR">
    <w:p w14:paraId="0A831478" w14:textId="77777777" w:rsidR="001D16E4" w:rsidRPr="004722D0" w:rsidRDefault="001D16E4" w:rsidP="001D16E4">
      <w:pPr>
        <w:jc w:val="center"/>
        <w:rPr>
          <w:b/>
        </w:rPr>
      </w:pPr>
      <w:r>
        <w:rPr>
          <w:rStyle w:val="CommentReference"/>
        </w:rPr>
        <w:annotationRef/>
      </w:r>
      <w:r>
        <w:rPr>
          <w:b/>
        </w:rPr>
        <w:t>THIRD PARTY CONTRACT CLAUSES</w:t>
      </w:r>
    </w:p>
    <w:p w14:paraId="61B5044D" w14:textId="77777777" w:rsidR="001D16E4" w:rsidRDefault="001D16E4" w:rsidP="001D16E4">
      <w:pPr>
        <w:jc w:val="center"/>
        <w:rPr>
          <w:b/>
        </w:rPr>
      </w:pPr>
      <w:r w:rsidRPr="004722D0">
        <w:rPr>
          <w:b/>
        </w:rPr>
        <w:t xml:space="preserve">Federal Transit Administration and </w:t>
      </w:r>
    </w:p>
    <w:p w14:paraId="7872ED76" w14:textId="77777777" w:rsidR="001D16E4" w:rsidRDefault="001D16E4" w:rsidP="001D16E4">
      <w:pPr>
        <w:jc w:val="center"/>
        <w:rPr>
          <w:b/>
        </w:rPr>
      </w:pPr>
      <w:r w:rsidRPr="004722D0">
        <w:rPr>
          <w:b/>
        </w:rPr>
        <w:t>California Department of Transportation Required Provisions</w:t>
      </w:r>
    </w:p>
    <w:p w14:paraId="6C0CD2DB" w14:textId="77777777" w:rsidR="001D16E4" w:rsidRDefault="001D16E4" w:rsidP="001D16E4">
      <w:pPr>
        <w:pStyle w:val="CommentText"/>
        <w:rPr>
          <w:bCs/>
        </w:rPr>
      </w:pPr>
      <w:r>
        <w:rPr>
          <w:bCs/>
        </w:rPr>
        <w:t xml:space="preserve">REV01-2019, </w:t>
      </w:r>
      <w:hyperlink r:id="rId1" w:history="1">
        <w:r>
          <w:rPr>
            <w:rStyle w:val="Hyperlink"/>
          </w:rPr>
          <w:t>https://dot.ca.gov/programs/rail-and-mass-transportation/federal-grants-procurement-management</w:t>
        </w:r>
      </w:hyperlink>
      <w:r>
        <w:t xml:space="preserve"> </w:t>
      </w:r>
    </w:p>
    <w:p w14:paraId="430219AA" w14:textId="77777777" w:rsidR="001D16E4" w:rsidRDefault="001D16E4" w:rsidP="001D16E4">
      <w:pPr>
        <w:pStyle w:val="CommentText"/>
      </w:pPr>
    </w:p>
    <w:p w14:paraId="429F5D35" w14:textId="77777777" w:rsidR="001D16E4" w:rsidRDefault="001D16E4" w:rsidP="001D16E4">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9F5D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A3881" w16cex:dateUtc="2020-03-04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9F5D35" w16cid:durableId="220A38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B44B" w14:textId="77777777" w:rsidR="009D3ABA" w:rsidRDefault="009D3ABA" w:rsidP="00B72385">
      <w:r>
        <w:separator/>
      </w:r>
    </w:p>
  </w:endnote>
  <w:endnote w:type="continuationSeparator" w:id="0">
    <w:p w14:paraId="6DE6F740" w14:textId="77777777" w:rsidR="009D3ABA" w:rsidRDefault="009D3ABA" w:rsidP="00B72385">
      <w:r>
        <w:continuationSeparator/>
      </w:r>
    </w:p>
  </w:endnote>
  <w:endnote w:type="continuationNotice" w:id="1">
    <w:p w14:paraId="624536EC" w14:textId="77777777" w:rsidR="009D3ABA" w:rsidRDefault="009D3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95037"/>
      <w:docPartObj>
        <w:docPartGallery w:val="Page Numbers (Bottom of Page)"/>
        <w:docPartUnique/>
      </w:docPartObj>
    </w:sdtPr>
    <w:sdtEndPr>
      <w:rPr>
        <w:noProof/>
      </w:rPr>
    </w:sdtEndPr>
    <w:sdtContent>
      <w:p w14:paraId="24358F40" w14:textId="6EFFAAA6" w:rsidR="00830E87" w:rsidRDefault="00830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9DD6B5" w14:textId="72F460E1" w:rsidR="00830E87" w:rsidRDefault="00830E87" w:rsidP="00670F6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801985"/>
      <w:docPartObj>
        <w:docPartGallery w:val="Page Numbers (Bottom of Page)"/>
        <w:docPartUnique/>
      </w:docPartObj>
    </w:sdtPr>
    <w:sdtEndPr>
      <w:rPr>
        <w:noProof/>
      </w:rPr>
    </w:sdtEndPr>
    <w:sdtContent>
      <w:p w14:paraId="1096B624" w14:textId="351475F7" w:rsidR="00830E87" w:rsidRDefault="00830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C813B" w14:textId="77777777" w:rsidR="00830E87" w:rsidRDefault="00830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D6C2" w14:textId="77777777" w:rsidR="001D16E4" w:rsidRDefault="001D16E4">
    <w:pPr>
      <w:pStyle w:val="Footer"/>
      <w:jc w:val="center"/>
    </w:pPr>
    <w:r>
      <w:fldChar w:fldCharType="begin"/>
    </w:r>
    <w:r>
      <w:instrText xml:space="preserve"> PAGE   \* MERGEFORMAT </w:instrText>
    </w:r>
    <w:r>
      <w:fldChar w:fldCharType="separate"/>
    </w:r>
    <w:r>
      <w:rPr>
        <w:noProof/>
      </w:rPr>
      <w:t>1</w:t>
    </w:r>
    <w:r>
      <w:rPr>
        <w:noProof/>
      </w:rPr>
      <w:fldChar w:fldCharType="end"/>
    </w:r>
  </w:p>
  <w:p w14:paraId="64D7C7FC" w14:textId="77777777" w:rsidR="001D16E4" w:rsidRDefault="001D16E4" w:rsidP="00F3077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CB34" w14:textId="77777777" w:rsidR="00830E87" w:rsidRDefault="00830E87">
    <w:pPr>
      <w:pStyle w:val="Footer"/>
      <w:jc w:val="center"/>
    </w:pPr>
    <w:r>
      <w:fldChar w:fldCharType="begin"/>
    </w:r>
    <w:r>
      <w:instrText xml:space="preserve"> PAGE   \* MERGEFORMAT </w:instrText>
    </w:r>
    <w:r>
      <w:fldChar w:fldCharType="separate"/>
    </w:r>
    <w:r>
      <w:rPr>
        <w:noProof/>
      </w:rPr>
      <w:t>1</w:t>
    </w:r>
    <w:r>
      <w:rPr>
        <w:noProof/>
      </w:rPr>
      <w:fldChar w:fldCharType="end"/>
    </w:r>
  </w:p>
  <w:p w14:paraId="1CC4672E" w14:textId="77777777" w:rsidR="00830E87" w:rsidRDefault="00830E87" w:rsidP="00F307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2A6B" w14:textId="77777777" w:rsidR="009D3ABA" w:rsidRDefault="009D3ABA" w:rsidP="00B72385">
      <w:r>
        <w:separator/>
      </w:r>
    </w:p>
  </w:footnote>
  <w:footnote w:type="continuationSeparator" w:id="0">
    <w:p w14:paraId="0A7369ED" w14:textId="77777777" w:rsidR="009D3ABA" w:rsidRDefault="009D3ABA" w:rsidP="00B72385">
      <w:r>
        <w:continuationSeparator/>
      </w:r>
    </w:p>
  </w:footnote>
  <w:footnote w:type="continuationNotice" w:id="1">
    <w:p w14:paraId="640D23E9" w14:textId="77777777" w:rsidR="009D3ABA" w:rsidRDefault="009D3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29F" w14:textId="527087D9" w:rsidR="001D16E4" w:rsidRPr="00FE54A1" w:rsidRDefault="001D16E4" w:rsidP="00F30774">
    <w:pPr>
      <w:pStyle w:val="Header"/>
    </w:pPr>
    <w:r w:rsidRPr="00FE54A1">
      <w:rPr>
        <w:sz w:val="22"/>
        <w:szCs w:val="22"/>
      </w:rPr>
      <w:t xml:space="preserve">Tehama </w:t>
    </w:r>
    <w:r w:rsidR="00007099">
      <w:rPr>
        <w:sz w:val="22"/>
        <w:szCs w:val="22"/>
      </w:rPr>
      <w:t>County Transportation Commission</w:t>
    </w:r>
    <w:r w:rsidRPr="00FE54A1">
      <w:rPr>
        <w:sz w:val="22"/>
        <w:szCs w:val="22"/>
      </w:rPr>
      <w:t xml:space="preserve"> </w:t>
    </w:r>
  </w:p>
  <w:p w14:paraId="19CD2FD8" w14:textId="77777777" w:rsidR="001D16E4" w:rsidRDefault="001D1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F78A" w14:textId="2E78B361" w:rsidR="00830E87" w:rsidRDefault="00830E87">
    <w:pPr>
      <w:pStyle w:val="Header"/>
    </w:pPr>
    <w:r w:rsidRPr="00FE54A1">
      <w:rPr>
        <w:sz w:val="22"/>
        <w:szCs w:val="22"/>
      </w:rPr>
      <w:t>Tehama</w:t>
    </w:r>
    <w:r w:rsidR="00D86FC0">
      <w:rPr>
        <w:sz w:val="22"/>
        <w:szCs w:val="22"/>
      </w:rPr>
      <w:t xml:space="preserve"> County Transportation </w:t>
    </w:r>
    <w:r w:rsidR="001C4B60">
      <w:rPr>
        <w:sz w:val="22"/>
        <w:szCs w:val="22"/>
      </w:rPr>
      <w:t>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14F5" w14:textId="3C5FF2FF" w:rsidR="00830E87" w:rsidRPr="003705FE" w:rsidRDefault="00830E87" w:rsidP="0033111A">
    <w:pPr>
      <w:pStyle w:val="Header"/>
      <w:rPr>
        <w:rFonts w:asciiTheme="majorHAnsi" w:hAnsiTheme="majorHAnsi"/>
        <w:i/>
        <w:sz w:val="20"/>
        <w:szCs w:val="20"/>
      </w:rPr>
    </w:pPr>
    <w:r w:rsidRPr="00587B45">
      <w:rPr>
        <w:rFonts w:asciiTheme="majorHAnsi" w:hAnsiTheme="majorHAnsi"/>
        <w:i/>
        <w:sz w:val="20"/>
        <w:szCs w:val="20"/>
      </w:rPr>
      <w:t xml:space="preserve">TEHAMA </w:t>
    </w:r>
    <w:r>
      <w:rPr>
        <w:rFonts w:asciiTheme="majorHAnsi" w:hAnsiTheme="majorHAnsi"/>
        <w:i/>
        <w:sz w:val="20"/>
        <w:szCs w:val="20"/>
      </w:rPr>
      <w:t>[LOCAL AGENCY]</w:t>
    </w:r>
    <w:r w:rsidRPr="003705FE">
      <w:rPr>
        <w:rFonts w:asciiTheme="majorHAnsi" w:hAnsiTheme="majorHAnsi"/>
        <w:i/>
        <w:sz w:val="20"/>
        <w:szCs w:val="20"/>
      </w:rPr>
      <w:tab/>
    </w:r>
    <w:r w:rsidRPr="003705FE">
      <w:rPr>
        <w:rFonts w:asciiTheme="majorHAnsi" w:hAnsiTheme="majorHAnsi"/>
        <w:i/>
        <w:sz w:val="20"/>
        <w:szCs w:val="20"/>
      </w:rPr>
      <w:tab/>
      <w:t>Request for Proposals</w:t>
    </w:r>
  </w:p>
  <w:p w14:paraId="7A265A9F" w14:textId="21DCBF9C" w:rsidR="00830E87" w:rsidRPr="006655F4" w:rsidRDefault="00830E87" w:rsidP="00670F68">
    <w:pPr>
      <w:pStyle w:val="Header"/>
      <w:tabs>
        <w:tab w:val="clear" w:pos="4680"/>
        <w:tab w:val="center" w:pos="7470"/>
      </w:tabs>
      <w:rPr>
        <w:rFonts w:asciiTheme="majorHAnsi" w:hAnsiTheme="majorHAnsi"/>
        <w:sz w:val="22"/>
      </w:rPr>
    </w:pPr>
    <w:r w:rsidRPr="003705FE">
      <w:rPr>
        <w:rFonts w:asciiTheme="majorHAnsi" w:hAnsiTheme="majorHAnsi"/>
        <w:i/>
        <w:sz w:val="20"/>
        <w:szCs w:val="20"/>
      </w:rPr>
      <w:t xml:space="preserve">Page </w:t>
    </w:r>
    <w:r w:rsidRPr="003705FE">
      <w:rPr>
        <w:rFonts w:asciiTheme="majorHAnsi" w:hAnsiTheme="majorHAnsi"/>
        <w:i/>
        <w:sz w:val="20"/>
        <w:szCs w:val="20"/>
      </w:rPr>
      <w:fldChar w:fldCharType="begin"/>
    </w:r>
    <w:r w:rsidRPr="003705FE">
      <w:rPr>
        <w:rFonts w:asciiTheme="majorHAnsi" w:hAnsiTheme="majorHAnsi"/>
        <w:i/>
        <w:sz w:val="20"/>
        <w:szCs w:val="20"/>
      </w:rPr>
      <w:instrText xml:space="preserve"> PAGE   \* MERGEFORMAT </w:instrText>
    </w:r>
    <w:r w:rsidRPr="003705FE">
      <w:rPr>
        <w:rFonts w:asciiTheme="majorHAnsi" w:hAnsiTheme="majorHAnsi"/>
        <w:i/>
        <w:sz w:val="20"/>
        <w:szCs w:val="20"/>
      </w:rPr>
      <w:fldChar w:fldCharType="separate"/>
    </w:r>
    <w:r w:rsidRPr="003705FE">
      <w:rPr>
        <w:rFonts w:asciiTheme="majorHAnsi" w:hAnsiTheme="majorHAnsi"/>
        <w:i/>
        <w:sz w:val="20"/>
        <w:szCs w:val="20"/>
      </w:rPr>
      <w:t>3</w:t>
    </w:r>
    <w:r w:rsidRPr="003705FE">
      <w:rPr>
        <w:rFonts w:asciiTheme="majorHAnsi" w:hAnsiTheme="majorHAnsi"/>
        <w:i/>
        <w:noProof/>
        <w:sz w:val="20"/>
        <w:szCs w:val="20"/>
      </w:rPr>
      <w:fldChar w:fldCharType="end"/>
    </w:r>
    <w:r w:rsidRPr="00587B45">
      <w:rPr>
        <w:rFonts w:asciiTheme="majorHAnsi" w:hAnsiTheme="majorHAnsi"/>
        <w:i/>
        <w:sz w:val="20"/>
        <w:szCs w:val="20"/>
      </w:rPr>
      <w:t xml:space="preserve"> of </w:t>
    </w:r>
    <w:r>
      <w:rPr>
        <w:rFonts w:asciiTheme="majorHAnsi" w:hAnsiTheme="majorHAnsi"/>
        <w:i/>
        <w:sz w:val="20"/>
        <w:szCs w:val="20"/>
      </w:rPr>
      <w:t>69</w:t>
    </w:r>
    <w:r w:rsidRPr="00587B45">
      <w:rPr>
        <w:rFonts w:asciiTheme="majorHAnsi" w:hAnsiTheme="majorHAnsi"/>
        <w:i/>
        <w:sz w:val="20"/>
        <w:szCs w:val="20"/>
      </w:rPr>
      <w:tab/>
    </w:r>
    <w:r w:rsidRPr="00670F68">
      <w:rPr>
        <w:rFonts w:asciiTheme="majorHAnsi" w:hAnsiTheme="majorHAnsi"/>
        <w:bCs/>
        <w:i/>
        <w:sz w:val="20"/>
        <w:szCs w:val="20"/>
      </w:rPr>
      <w:t>TRAX &amp; Transit Facility Communication System</w:t>
    </w:r>
    <w:r w:rsidRPr="004A7208" w:rsidDel="00A3628D">
      <w:rPr>
        <w:rFonts w:asciiTheme="majorHAnsi" w:hAnsiTheme="majorHAnsi"/>
        <w:i/>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CF58" w14:textId="7BCE505C" w:rsidR="00830E87" w:rsidRPr="00A907D9" w:rsidRDefault="00830E87" w:rsidP="005A57AB">
    <w:pPr>
      <w:pStyle w:val="Header"/>
      <w:rPr>
        <w:rFonts w:asciiTheme="majorHAnsi" w:hAnsiTheme="majorHAnsi"/>
        <w:i/>
        <w:sz w:val="20"/>
        <w:szCs w:val="20"/>
      </w:rPr>
    </w:pPr>
    <w:r w:rsidRPr="00587B45">
      <w:rPr>
        <w:rFonts w:asciiTheme="majorHAnsi" w:hAnsiTheme="majorHAnsi"/>
        <w:i/>
        <w:sz w:val="20"/>
        <w:szCs w:val="20"/>
      </w:rPr>
      <w:t xml:space="preserve">TEHAMA </w:t>
    </w:r>
    <w:r>
      <w:rPr>
        <w:rFonts w:asciiTheme="majorHAnsi" w:hAnsiTheme="majorHAnsi"/>
        <w:i/>
        <w:sz w:val="20"/>
        <w:szCs w:val="20"/>
      </w:rPr>
      <w:t>[LOCAL AGENCY]</w:t>
    </w:r>
    <w:r w:rsidRPr="00587B45">
      <w:rPr>
        <w:rFonts w:asciiTheme="majorHAnsi" w:hAnsiTheme="majorHAnsi"/>
        <w:i/>
        <w:sz w:val="20"/>
        <w:szCs w:val="20"/>
      </w:rPr>
      <w:t xml:space="preserve"> </w:t>
    </w:r>
    <w:r w:rsidRPr="00A907D9">
      <w:rPr>
        <w:rFonts w:asciiTheme="majorHAnsi" w:hAnsiTheme="majorHAnsi"/>
        <w:i/>
        <w:sz w:val="20"/>
        <w:szCs w:val="20"/>
      </w:rPr>
      <w:tab/>
    </w:r>
    <w:r w:rsidRPr="00A907D9">
      <w:rPr>
        <w:rFonts w:asciiTheme="majorHAnsi" w:hAnsiTheme="majorHAnsi"/>
        <w:i/>
        <w:sz w:val="20"/>
        <w:szCs w:val="20"/>
      </w:rPr>
      <w:tab/>
      <w:t>Request for Proposals</w:t>
    </w:r>
  </w:p>
  <w:p w14:paraId="36AD413B" w14:textId="5A81E3F5" w:rsidR="00830E87" w:rsidRPr="00587B45" w:rsidRDefault="00830E87" w:rsidP="00670F68">
    <w:pPr>
      <w:pStyle w:val="Header"/>
      <w:tabs>
        <w:tab w:val="clear" w:pos="4680"/>
        <w:tab w:val="center" w:pos="7380"/>
      </w:tabs>
      <w:rPr>
        <w:rFonts w:asciiTheme="majorHAnsi" w:hAnsiTheme="majorHAnsi"/>
        <w:i/>
        <w:sz w:val="20"/>
        <w:szCs w:val="20"/>
      </w:rPr>
    </w:pPr>
    <w:r w:rsidRPr="00A907D9">
      <w:rPr>
        <w:rFonts w:asciiTheme="majorHAnsi" w:hAnsiTheme="majorHAnsi"/>
        <w:i/>
        <w:sz w:val="20"/>
        <w:szCs w:val="20"/>
      </w:rPr>
      <w:t xml:space="preserve">Page </w:t>
    </w:r>
    <w:r w:rsidRPr="003705FE">
      <w:rPr>
        <w:rFonts w:asciiTheme="majorHAnsi" w:hAnsiTheme="majorHAnsi"/>
        <w:i/>
        <w:sz w:val="20"/>
        <w:szCs w:val="20"/>
      </w:rPr>
      <w:fldChar w:fldCharType="begin"/>
    </w:r>
    <w:r w:rsidRPr="003705FE">
      <w:rPr>
        <w:rFonts w:asciiTheme="majorHAnsi" w:hAnsiTheme="majorHAnsi"/>
        <w:i/>
        <w:sz w:val="20"/>
        <w:szCs w:val="20"/>
      </w:rPr>
      <w:instrText xml:space="preserve"> PAGE   \* MERGEFORMAT </w:instrText>
    </w:r>
    <w:r w:rsidRPr="003705FE">
      <w:rPr>
        <w:rFonts w:asciiTheme="majorHAnsi" w:hAnsiTheme="majorHAnsi"/>
        <w:i/>
        <w:sz w:val="20"/>
        <w:szCs w:val="20"/>
      </w:rPr>
      <w:fldChar w:fldCharType="separate"/>
    </w:r>
    <w:r w:rsidRPr="003705FE">
      <w:rPr>
        <w:rFonts w:asciiTheme="majorHAnsi" w:hAnsiTheme="majorHAnsi"/>
        <w:i/>
        <w:noProof/>
        <w:sz w:val="20"/>
        <w:szCs w:val="20"/>
      </w:rPr>
      <w:t>3</w:t>
    </w:r>
    <w:r w:rsidRPr="003705FE">
      <w:rPr>
        <w:rFonts w:asciiTheme="majorHAnsi" w:hAnsiTheme="majorHAnsi"/>
        <w:i/>
        <w:noProof/>
        <w:sz w:val="20"/>
        <w:szCs w:val="20"/>
      </w:rPr>
      <w:fldChar w:fldCharType="end"/>
    </w:r>
    <w:r w:rsidRPr="00587B45">
      <w:rPr>
        <w:rFonts w:asciiTheme="majorHAnsi" w:hAnsiTheme="majorHAnsi"/>
        <w:i/>
        <w:sz w:val="20"/>
        <w:szCs w:val="20"/>
      </w:rPr>
      <w:t xml:space="preserve"> of 14</w:t>
    </w:r>
    <w:r w:rsidRPr="00587B45">
      <w:rPr>
        <w:rFonts w:asciiTheme="majorHAnsi" w:hAnsiTheme="majorHAnsi"/>
        <w:i/>
        <w:sz w:val="20"/>
        <w:szCs w:val="20"/>
      </w:rPr>
      <w:tab/>
    </w:r>
    <w:r w:rsidRPr="00670F68">
      <w:rPr>
        <w:rFonts w:asciiTheme="majorHAnsi" w:hAnsiTheme="majorHAnsi"/>
        <w:bCs/>
        <w:i/>
        <w:sz w:val="20"/>
        <w:szCs w:val="20"/>
      </w:rPr>
      <w:t>TRAX &amp; Transit Facility Communication System</w:t>
    </w:r>
    <w:r w:rsidRPr="00587B45" w:rsidDel="00A3628D">
      <w:rPr>
        <w:rFonts w:asciiTheme="majorHAnsi" w:hAnsiTheme="majorHAnsi"/>
        <w:i/>
        <w:sz w:val="20"/>
        <w:szCs w:val="20"/>
      </w:rPr>
      <w:t xml:space="preserve"> </w:t>
    </w:r>
  </w:p>
  <w:p w14:paraId="2FAC3B3E" w14:textId="77777777" w:rsidR="00830E87" w:rsidRPr="00560BB2" w:rsidRDefault="00830E87" w:rsidP="005A57AB">
    <w:pPr>
      <w:rPr>
        <w:rFonts w:asciiTheme="majorHAnsi" w:hAnsiTheme="maj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C51"/>
    <w:multiLevelType w:val="hybridMultilevel"/>
    <w:tmpl w:val="5D863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C6A2B"/>
    <w:multiLevelType w:val="hybridMultilevel"/>
    <w:tmpl w:val="6CF208D2"/>
    <w:lvl w:ilvl="0" w:tplc="C0F8A30A">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C02BB"/>
    <w:multiLevelType w:val="hybridMultilevel"/>
    <w:tmpl w:val="DA56BF64"/>
    <w:lvl w:ilvl="0" w:tplc="50B814E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F4E7E"/>
    <w:multiLevelType w:val="multilevel"/>
    <w:tmpl w:val="DD58F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D5B90"/>
    <w:multiLevelType w:val="hybridMultilevel"/>
    <w:tmpl w:val="CF64B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A3997"/>
    <w:multiLevelType w:val="hybridMultilevel"/>
    <w:tmpl w:val="3E98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46893"/>
    <w:multiLevelType w:val="hybridMultilevel"/>
    <w:tmpl w:val="C24EA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025E7"/>
    <w:multiLevelType w:val="hybridMultilevel"/>
    <w:tmpl w:val="95928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55BA1"/>
    <w:multiLevelType w:val="hybridMultilevel"/>
    <w:tmpl w:val="EEBC4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02A48"/>
    <w:multiLevelType w:val="hybridMultilevel"/>
    <w:tmpl w:val="6EBC8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B0405"/>
    <w:multiLevelType w:val="hybridMultilevel"/>
    <w:tmpl w:val="F9B67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441A9"/>
    <w:multiLevelType w:val="hybridMultilevel"/>
    <w:tmpl w:val="78688A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904421"/>
    <w:multiLevelType w:val="hybridMultilevel"/>
    <w:tmpl w:val="A4DAC8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2288C"/>
    <w:multiLevelType w:val="hybridMultilevel"/>
    <w:tmpl w:val="872AB8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CA4E85"/>
    <w:multiLevelType w:val="hybridMultilevel"/>
    <w:tmpl w:val="3CAAD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26E62"/>
    <w:multiLevelType w:val="hybridMultilevel"/>
    <w:tmpl w:val="ECF61B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42718"/>
    <w:multiLevelType w:val="multilevel"/>
    <w:tmpl w:val="0FC2F5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54D2BE5"/>
    <w:multiLevelType w:val="hybridMultilevel"/>
    <w:tmpl w:val="98ACA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44DDF"/>
    <w:multiLevelType w:val="hybridMultilevel"/>
    <w:tmpl w:val="65C81D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F81D52"/>
    <w:multiLevelType w:val="hybridMultilevel"/>
    <w:tmpl w:val="14E28FDE"/>
    <w:lvl w:ilvl="0" w:tplc="B3FAFD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B08F9"/>
    <w:multiLevelType w:val="hybridMultilevel"/>
    <w:tmpl w:val="116CB70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04043F"/>
    <w:multiLevelType w:val="hybridMultilevel"/>
    <w:tmpl w:val="ECF61B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100AD"/>
    <w:multiLevelType w:val="hybridMultilevel"/>
    <w:tmpl w:val="1C02D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66129F"/>
    <w:multiLevelType w:val="multilevel"/>
    <w:tmpl w:val="20CEC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6433C"/>
    <w:multiLevelType w:val="hybridMultilevel"/>
    <w:tmpl w:val="702CD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8A6BA2"/>
    <w:multiLevelType w:val="hybridMultilevel"/>
    <w:tmpl w:val="C73E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FB37FE"/>
    <w:multiLevelType w:val="hybridMultilevel"/>
    <w:tmpl w:val="B6AE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391699"/>
    <w:multiLevelType w:val="hybridMultilevel"/>
    <w:tmpl w:val="00C4B0AC"/>
    <w:lvl w:ilvl="0" w:tplc="D01AF62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BC42C9"/>
    <w:multiLevelType w:val="hybridMultilevel"/>
    <w:tmpl w:val="40767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4E62C3"/>
    <w:multiLevelType w:val="multilevel"/>
    <w:tmpl w:val="466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B432C7"/>
    <w:multiLevelType w:val="hybridMultilevel"/>
    <w:tmpl w:val="C73E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1C4757"/>
    <w:multiLevelType w:val="hybridMultilevel"/>
    <w:tmpl w:val="D388C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852C14"/>
    <w:multiLevelType w:val="hybridMultilevel"/>
    <w:tmpl w:val="79701C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362CF2"/>
    <w:multiLevelType w:val="hybridMultilevel"/>
    <w:tmpl w:val="E5688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AE245B"/>
    <w:multiLevelType w:val="hybridMultilevel"/>
    <w:tmpl w:val="8116BB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222348"/>
    <w:multiLevelType w:val="hybridMultilevel"/>
    <w:tmpl w:val="436E5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6F2AA7"/>
    <w:multiLevelType w:val="hybridMultilevel"/>
    <w:tmpl w:val="01AA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720A89"/>
    <w:multiLevelType w:val="hybridMultilevel"/>
    <w:tmpl w:val="B9BAA916"/>
    <w:lvl w:ilvl="0" w:tplc="0409000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62546D3"/>
    <w:multiLevelType w:val="hybridMultilevel"/>
    <w:tmpl w:val="5158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8008C3"/>
    <w:multiLevelType w:val="hybridMultilevel"/>
    <w:tmpl w:val="83641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F47513"/>
    <w:multiLevelType w:val="hybridMultilevel"/>
    <w:tmpl w:val="E37A59B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D804C0"/>
    <w:multiLevelType w:val="hybridMultilevel"/>
    <w:tmpl w:val="DA58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F21694"/>
    <w:multiLevelType w:val="hybridMultilevel"/>
    <w:tmpl w:val="CFD4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F33301"/>
    <w:multiLevelType w:val="hybridMultilevel"/>
    <w:tmpl w:val="BE487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5C02C5"/>
    <w:multiLevelType w:val="hybridMultilevel"/>
    <w:tmpl w:val="FE1E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D753F7"/>
    <w:multiLevelType w:val="hybridMultilevel"/>
    <w:tmpl w:val="00CE1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5A6AEB"/>
    <w:multiLevelType w:val="hybridMultilevel"/>
    <w:tmpl w:val="ECF61B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930FA5"/>
    <w:multiLevelType w:val="hybridMultilevel"/>
    <w:tmpl w:val="E5688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B11E79"/>
    <w:multiLevelType w:val="hybridMultilevel"/>
    <w:tmpl w:val="420AD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EC6D25"/>
    <w:multiLevelType w:val="multilevel"/>
    <w:tmpl w:val="FC1C6270"/>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bullet"/>
      <w:lvlText w:val=""/>
      <w:lvlJc w:val="left"/>
      <w:pPr>
        <w:ind w:left="3600" w:hanging="720"/>
      </w:pPr>
      <w:rPr>
        <w:rFonts w:ascii="Symbol" w:hAnsi="Symbol" w:hint="default"/>
      </w:rPr>
    </w:lvl>
    <w:lvl w:ilvl="5">
      <w:start w:val="1"/>
      <w:numFmt w:val="bullet"/>
      <w:lvlText w:val="o"/>
      <w:lvlJc w:val="left"/>
      <w:pPr>
        <w:ind w:left="4320" w:hanging="720"/>
      </w:pPr>
      <w:rPr>
        <w:rFonts w:ascii="Courier New" w:hAnsi="Courier New" w:cs="Courier New" w:hint="default"/>
      </w:rPr>
    </w:lvl>
    <w:lvl w:ilvl="6">
      <w:start w:val="1"/>
      <w:numFmt w:val="bullet"/>
      <w:lvlText w:val=""/>
      <w:lvlJc w:val="left"/>
      <w:pPr>
        <w:ind w:left="5040" w:hanging="720"/>
      </w:pPr>
      <w:rPr>
        <w:rFonts w:ascii="Symbol" w:hAnsi="Symbol" w:hint="default"/>
      </w:rPr>
    </w:lvl>
    <w:lvl w:ilvl="7">
      <w:start w:val="1"/>
      <w:numFmt w:val="bullet"/>
      <w:lvlText w:val=""/>
      <w:lvlJc w:val="left"/>
      <w:pPr>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abstractNum w:abstractNumId="50" w15:restartNumberingAfterBreak="0">
    <w:nsid w:val="65606E11"/>
    <w:multiLevelType w:val="hybridMultilevel"/>
    <w:tmpl w:val="E48C7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CD1EB1"/>
    <w:multiLevelType w:val="hybridMultilevel"/>
    <w:tmpl w:val="4F085BCA"/>
    <w:lvl w:ilvl="0" w:tplc="17A47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8C265C"/>
    <w:multiLevelType w:val="multilevel"/>
    <w:tmpl w:val="D3D42E1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bullet"/>
      <w:lvlText w:val=""/>
      <w:lvlJc w:val="left"/>
      <w:pPr>
        <w:ind w:left="3600" w:hanging="720"/>
      </w:pPr>
      <w:rPr>
        <w:rFonts w:ascii="Symbol" w:hAnsi="Symbol" w:hint="default"/>
      </w:rPr>
    </w:lvl>
    <w:lvl w:ilvl="5">
      <w:start w:val="1"/>
      <w:numFmt w:val="bullet"/>
      <w:lvlText w:val="o"/>
      <w:lvlJc w:val="left"/>
      <w:pPr>
        <w:ind w:left="4320" w:hanging="720"/>
      </w:pPr>
      <w:rPr>
        <w:rFonts w:ascii="Courier New" w:hAnsi="Courier New" w:cs="Courier New" w:hint="default"/>
      </w:rPr>
    </w:lvl>
    <w:lvl w:ilvl="6">
      <w:start w:val="1"/>
      <w:numFmt w:val="bullet"/>
      <w:lvlText w:val=""/>
      <w:lvlJc w:val="left"/>
      <w:pPr>
        <w:ind w:left="5040" w:hanging="720"/>
      </w:pPr>
      <w:rPr>
        <w:rFonts w:ascii="Symbol" w:hAnsi="Symbol" w:hint="default"/>
      </w:rPr>
    </w:lvl>
    <w:lvl w:ilvl="7">
      <w:start w:val="1"/>
      <w:numFmt w:val="bullet"/>
      <w:lvlText w:val=""/>
      <w:lvlJc w:val="left"/>
      <w:pPr>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abstractNum w:abstractNumId="53" w15:restartNumberingAfterBreak="0">
    <w:nsid w:val="6BD51877"/>
    <w:multiLevelType w:val="hybridMultilevel"/>
    <w:tmpl w:val="CAEA2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231EC6"/>
    <w:multiLevelType w:val="hybridMultilevel"/>
    <w:tmpl w:val="B8067576"/>
    <w:lvl w:ilvl="0" w:tplc="0409000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004228A"/>
    <w:multiLevelType w:val="hybridMultilevel"/>
    <w:tmpl w:val="E5688A62"/>
    <w:lvl w:ilvl="0" w:tplc="E7B6E086">
      <w:start w:val="1"/>
      <w:numFmt w:val="decimal"/>
      <w:lvlText w:val="%1."/>
      <w:lvlJc w:val="left"/>
      <w:pPr>
        <w:ind w:left="1440" w:hanging="360"/>
      </w:pPr>
    </w:lvl>
    <w:lvl w:ilvl="1" w:tplc="21EA6318" w:tentative="1">
      <w:start w:val="1"/>
      <w:numFmt w:val="lowerLetter"/>
      <w:lvlText w:val="%2."/>
      <w:lvlJc w:val="left"/>
      <w:pPr>
        <w:ind w:left="2160" w:hanging="360"/>
      </w:pPr>
    </w:lvl>
    <w:lvl w:ilvl="2" w:tplc="FC8E5CDA" w:tentative="1">
      <w:start w:val="1"/>
      <w:numFmt w:val="lowerRoman"/>
      <w:lvlText w:val="%3."/>
      <w:lvlJc w:val="right"/>
      <w:pPr>
        <w:ind w:left="2880" w:hanging="180"/>
      </w:pPr>
    </w:lvl>
    <w:lvl w:ilvl="3" w:tplc="9D5EBC2E" w:tentative="1">
      <w:start w:val="1"/>
      <w:numFmt w:val="decimal"/>
      <w:lvlText w:val="%4."/>
      <w:lvlJc w:val="left"/>
      <w:pPr>
        <w:ind w:left="3600" w:hanging="360"/>
      </w:pPr>
    </w:lvl>
    <w:lvl w:ilvl="4" w:tplc="A5D2F266" w:tentative="1">
      <w:start w:val="1"/>
      <w:numFmt w:val="lowerLetter"/>
      <w:lvlText w:val="%5."/>
      <w:lvlJc w:val="left"/>
      <w:pPr>
        <w:ind w:left="4320" w:hanging="360"/>
      </w:pPr>
    </w:lvl>
    <w:lvl w:ilvl="5" w:tplc="E3609928" w:tentative="1">
      <w:start w:val="1"/>
      <w:numFmt w:val="lowerRoman"/>
      <w:lvlText w:val="%6."/>
      <w:lvlJc w:val="right"/>
      <w:pPr>
        <w:ind w:left="5040" w:hanging="180"/>
      </w:pPr>
    </w:lvl>
    <w:lvl w:ilvl="6" w:tplc="078026CE" w:tentative="1">
      <w:start w:val="1"/>
      <w:numFmt w:val="decimal"/>
      <w:lvlText w:val="%7."/>
      <w:lvlJc w:val="left"/>
      <w:pPr>
        <w:ind w:left="5760" w:hanging="360"/>
      </w:pPr>
    </w:lvl>
    <w:lvl w:ilvl="7" w:tplc="2CE6CB7E" w:tentative="1">
      <w:start w:val="1"/>
      <w:numFmt w:val="lowerLetter"/>
      <w:lvlText w:val="%8."/>
      <w:lvlJc w:val="left"/>
      <w:pPr>
        <w:ind w:left="6480" w:hanging="360"/>
      </w:pPr>
    </w:lvl>
    <w:lvl w:ilvl="8" w:tplc="3EBE8AB4" w:tentative="1">
      <w:start w:val="1"/>
      <w:numFmt w:val="lowerRoman"/>
      <w:lvlText w:val="%9."/>
      <w:lvlJc w:val="right"/>
      <w:pPr>
        <w:ind w:left="7200" w:hanging="180"/>
      </w:pPr>
    </w:lvl>
  </w:abstractNum>
  <w:abstractNum w:abstractNumId="56" w15:restartNumberingAfterBreak="0">
    <w:nsid w:val="70525988"/>
    <w:multiLevelType w:val="hybridMultilevel"/>
    <w:tmpl w:val="F692C9CC"/>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7" w15:restartNumberingAfterBreak="0">
    <w:nsid w:val="715C21CB"/>
    <w:multiLevelType w:val="hybridMultilevel"/>
    <w:tmpl w:val="51581780"/>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8" w15:restartNumberingAfterBreak="0">
    <w:nsid w:val="722A14FA"/>
    <w:multiLevelType w:val="hybridMultilevel"/>
    <w:tmpl w:val="00C4B0AC"/>
    <w:lvl w:ilvl="0" w:tplc="0409000F">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8F693E"/>
    <w:multiLevelType w:val="hybridMultilevel"/>
    <w:tmpl w:val="4076753E"/>
    <w:lvl w:ilvl="0" w:tplc="D01AF62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383EB4"/>
    <w:multiLevelType w:val="hybridMultilevel"/>
    <w:tmpl w:val="8000FE24"/>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AFF6DAB"/>
    <w:multiLevelType w:val="hybridMultilevel"/>
    <w:tmpl w:val="51581780"/>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0408BA"/>
    <w:multiLevelType w:val="hybridMultilevel"/>
    <w:tmpl w:val="4684ABD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159008">
    <w:abstractNumId w:val="19"/>
  </w:num>
  <w:num w:numId="2" w16cid:durableId="315577000">
    <w:abstractNumId w:val="2"/>
  </w:num>
  <w:num w:numId="3" w16cid:durableId="126363769">
    <w:abstractNumId w:val="58"/>
  </w:num>
  <w:num w:numId="4" w16cid:durableId="1439789127">
    <w:abstractNumId w:val="12"/>
  </w:num>
  <w:num w:numId="5" w16cid:durableId="1478372443">
    <w:abstractNumId w:val="16"/>
  </w:num>
  <w:num w:numId="6" w16cid:durableId="50084952">
    <w:abstractNumId w:val="36"/>
  </w:num>
  <w:num w:numId="7" w16cid:durableId="592083028">
    <w:abstractNumId w:val="47"/>
  </w:num>
  <w:num w:numId="8" w16cid:durableId="43454297">
    <w:abstractNumId w:val="33"/>
  </w:num>
  <w:num w:numId="9" w16cid:durableId="767821577">
    <w:abstractNumId w:val="44"/>
  </w:num>
  <w:num w:numId="10" w16cid:durableId="1925338147">
    <w:abstractNumId w:val="57"/>
  </w:num>
  <w:num w:numId="11" w16cid:durableId="307709392">
    <w:abstractNumId w:val="59"/>
  </w:num>
  <w:num w:numId="12" w16cid:durableId="352807633">
    <w:abstractNumId w:val="38"/>
  </w:num>
  <w:num w:numId="13" w16cid:durableId="1043821352">
    <w:abstractNumId w:val="34"/>
  </w:num>
  <w:num w:numId="14" w16cid:durableId="1073818022">
    <w:abstractNumId w:val="62"/>
  </w:num>
  <w:num w:numId="15" w16cid:durableId="961569643">
    <w:abstractNumId w:val="28"/>
  </w:num>
  <w:num w:numId="16" w16cid:durableId="466825699">
    <w:abstractNumId w:val="27"/>
  </w:num>
  <w:num w:numId="17" w16cid:durableId="1504206374">
    <w:abstractNumId w:val="48"/>
  </w:num>
  <w:num w:numId="18" w16cid:durableId="1820464163">
    <w:abstractNumId w:val="26"/>
  </w:num>
  <w:num w:numId="19" w16cid:durableId="1308320492">
    <w:abstractNumId w:val="61"/>
  </w:num>
  <w:num w:numId="20" w16cid:durableId="1042317156">
    <w:abstractNumId w:val="55"/>
  </w:num>
  <w:num w:numId="21" w16cid:durableId="1661352505">
    <w:abstractNumId w:val="60"/>
  </w:num>
  <w:num w:numId="22" w16cid:durableId="70975823">
    <w:abstractNumId w:val="22"/>
  </w:num>
  <w:num w:numId="23" w16cid:durableId="853110066">
    <w:abstractNumId w:val="18"/>
  </w:num>
  <w:num w:numId="24" w16cid:durableId="522207653">
    <w:abstractNumId w:val="42"/>
  </w:num>
  <w:num w:numId="25" w16cid:durableId="2000385755">
    <w:abstractNumId w:val="21"/>
  </w:num>
  <w:num w:numId="26" w16cid:durableId="272446202">
    <w:abstractNumId w:val="15"/>
  </w:num>
  <w:num w:numId="27" w16cid:durableId="1862549854">
    <w:abstractNumId w:val="46"/>
  </w:num>
  <w:num w:numId="28" w16cid:durableId="650058864">
    <w:abstractNumId w:val="45"/>
  </w:num>
  <w:num w:numId="29" w16cid:durableId="855383515">
    <w:abstractNumId w:val="43"/>
  </w:num>
  <w:num w:numId="30" w16cid:durableId="1239291660">
    <w:abstractNumId w:val="25"/>
  </w:num>
  <w:num w:numId="31" w16cid:durableId="964194187">
    <w:abstractNumId w:val="8"/>
  </w:num>
  <w:num w:numId="32" w16cid:durableId="1903103762">
    <w:abstractNumId w:val="56"/>
  </w:num>
  <w:num w:numId="33" w16cid:durableId="513691643">
    <w:abstractNumId w:val="31"/>
  </w:num>
  <w:num w:numId="34" w16cid:durableId="1493177563">
    <w:abstractNumId w:val="54"/>
  </w:num>
  <w:num w:numId="35" w16cid:durableId="357388375">
    <w:abstractNumId w:val="37"/>
  </w:num>
  <w:num w:numId="36" w16cid:durableId="1145007132">
    <w:abstractNumId w:val="30"/>
  </w:num>
  <w:num w:numId="37" w16cid:durableId="1694187686">
    <w:abstractNumId w:val="41"/>
  </w:num>
  <w:num w:numId="38" w16cid:durableId="981427732">
    <w:abstractNumId w:val="4"/>
  </w:num>
  <w:num w:numId="39" w16cid:durableId="741217493">
    <w:abstractNumId w:val="49"/>
  </w:num>
  <w:num w:numId="40" w16cid:durableId="107160376">
    <w:abstractNumId w:val="52"/>
  </w:num>
  <w:num w:numId="41" w16cid:durableId="511798960">
    <w:abstractNumId w:val="23"/>
  </w:num>
  <w:num w:numId="42" w16cid:durableId="1756780076">
    <w:abstractNumId w:val="3"/>
  </w:num>
  <w:num w:numId="43" w16cid:durableId="1739091109">
    <w:abstractNumId w:val="5"/>
  </w:num>
  <w:num w:numId="44" w16cid:durableId="541938903">
    <w:abstractNumId w:val="39"/>
  </w:num>
  <w:num w:numId="45" w16cid:durableId="1259875308">
    <w:abstractNumId w:val="1"/>
  </w:num>
  <w:num w:numId="46" w16cid:durableId="1529487717">
    <w:abstractNumId w:val="14"/>
  </w:num>
  <w:num w:numId="47" w16cid:durableId="1384401197">
    <w:abstractNumId w:val="24"/>
  </w:num>
  <w:num w:numId="48" w16cid:durableId="1840345215">
    <w:abstractNumId w:val="40"/>
  </w:num>
  <w:num w:numId="49" w16cid:durableId="969672499">
    <w:abstractNumId w:val="10"/>
  </w:num>
  <w:num w:numId="50" w16cid:durableId="38210608">
    <w:abstractNumId w:val="17"/>
  </w:num>
  <w:num w:numId="51" w16cid:durableId="1346401270">
    <w:abstractNumId w:val="50"/>
  </w:num>
  <w:num w:numId="52" w16cid:durableId="383334452">
    <w:abstractNumId w:val="35"/>
  </w:num>
  <w:num w:numId="53" w16cid:durableId="695077198">
    <w:abstractNumId w:val="6"/>
  </w:num>
  <w:num w:numId="54" w16cid:durableId="1199507024">
    <w:abstractNumId w:val="53"/>
  </w:num>
  <w:num w:numId="55" w16cid:durableId="906111025">
    <w:abstractNumId w:val="51"/>
  </w:num>
  <w:num w:numId="56" w16cid:durableId="1538548497">
    <w:abstractNumId w:val="0"/>
  </w:num>
  <w:num w:numId="57" w16cid:durableId="564219376">
    <w:abstractNumId w:val="9"/>
  </w:num>
  <w:num w:numId="58" w16cid:durableId="1698580304">
    <w:abstractNumId w:val="7"/>
  </w:num>
  <w:num w:numId="59" w16cid:durableId="206920186">
    <w:abstractNumId w:val="11"/>
  </w:num>
  <w:num w:numId="60" w16cid:durableId="564418083">
    <w:abstractNumId w:val="32"/>
  </w:num>
  <w:num w:numId="61" w16cid:durableId="286200076">
    <w:abstractNumId w:val="13"/>
  </w:num>
  <w:num w:numId="62" w16cid:durableId="210046113">
    <w:abstractNumId w:val="20"/>
  </w:num>
  <w:num w:numId="63" w16cid:durableId="2145928778">
    <w:abstractNumId w:val="2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Riske-Gomez">
    <w15:presenceInfo w15:providerId="None" w15:userId="Jessica Riske-Gom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385"/>
    <w:rsid w:val="000008C4"/>
    <w:rsid w:val="00000A56"/>
    <w:rsid w:val="0000561C"/>
    <w:rsid w:val="00006853"/>
    <w:rsid w:val="00007099"/>
    <w:rsid w:val="00011125"/>
    <w:rsid w:val="00011B81"/>
    <w:rsid w:val="00012C59"/>
    <w:rsid w:val="00012D44"/>
    <w:rsid w:val="0001325E"/>
    <w:rsid w:val="000132F5"/>
    <w:rsid w:val="00014199"/>
    <w:rsid w:val="00014258"/>
    <w:rsid w:val="0001603D"/>
    <w:rsid w:val="00016417"/>
    <w:rsid w:val="00017485"/>
    <w:rsid w:val="00020CD6"/>
    <w:rsid w:val="00024B4B"/>
    <w:rsid w:val="00024C56"/>
    <w:rsid w:val="00026DF5"/>
    <w:rsid w:val="00032867"/>
    <w:rsid w:val="00032C28"/>
    <w:rsid w:val="00032D0A"/>
    <w:rsid w:val="00033A53"/>
    <w:rsid w:val="000347C8"/>
    <w:rsid w:val="00035D26"/>
    <w:rsid w:val="0004034D"/>
    <w:rsid w:val="00040989"/>
    <w:rsid w:val="00044214"/>
    <w:rsid w:val="0004482E"/>
    <w:rsid w:val="00052E75"/>
    <w:rsid w:val="00056CCC"/>
    <w:rsid w:val="00060CAA"/>
    <w:rsid w:val="00060EE8"/>
    <w:rsid w:val="00061CDB"/>
    <w:rsid w:val="00064D77"/>
    <w:rsid w:val="00066805"/>
    <w:rsid w:val="0006756D"/>
    <w:rsid w:val="00070048"/>
    <w:rsid w:val="0007103F"/>
    <w:rsid w:val="00072513"/>
    <w:rsid w:val="000731F3"/>
    <w:rsid w:val="000768C1"/>
    <w:rsid w:val="00076E25"/>
    <w:rsid w:val="00077F7A"/>
    <w:rsid w:val="00081A7A"/>
    <w:rsid w:val="0008406B"/>
    <w:rsid w:val="0008494B"/>
    <w:rsid w:val="000860C3"/>
    <w:rsid w:val="00086F36"/>
    <w:rsid w:val="000903E4"/>
    <w:rsid w:val="00090C1F"/>
    <w:rsid w:val="00092563"/>
    <w:rsid w:val="000934ED"/>
    <w:rsid w:val="000938BC"/>
    <w:rsid w:val="00096A8B"/>
    <w:rsid w:val="000971AC"/>
    <w:rsid w:val="000A0639"/>
    <w:rsid w:val="000A0CA8"/>
    <w:rsid w:val="000A2BAB"/>
    <w:rsid w:val="000A2CC4"/>
    <w:rsid w:val="000A72B9"/>
    <w:rsid w:val="000A7B62"/>
    <w:rsid w:val="000B2277"/>
    <w:rsid w:val="000B3A20"/>
    <w:rsid w:val="000B561B"/>
    <w:rsid w:val="000B5740"/>
    <w:rsid w:val="000B6815"/>
    <w:rsid w:val="000B7624"/>
    <w:rsid w:val="000C00B5"/>
    <w:rsid w:val="000C38F9"/>
    <w:rsid w:val="000C57B1"/>
    <w:rsid w:val="000D07AC"/>
    <w:rsid w:val="000D09B0"/>
    <w:rsid w:val="000D0F8A"/>
    <w:rsid w:val="000D3DB9"/>
    <w:rsid w:val="000D7792"/>
    <w:rsid w:val="000E3921"/>
    <w:rsid w:val="000E3E92"/>
    <w:rsid w:val="000E424A"/>
    <w:rsid w:val="000E6287"/>
    <w:rsid w:val="000E71FD"/>
    <w:rsid w:val="000E7A62"/>
    <w:rsid w:val="000F1A3A"/>
    <w:rsid w:val="000F233B"/>
    <w:rsid w:val="000F7B06"/>
    <w:rsid w:val="001016AC"/>
    <w:rsid w:val="00106C29"/>
    <w:rsid w:val="00106F01"/>
    <w:rsid w:val="00107D41"/>
    <w:rsid w:val="00110327"/>
    <w:rsid w:val="0011136A"/>
    <w:rsid w:val="001120A4"/>
    <w:rsid w:val="00113B9B"/>
    <w:rsid w:val="00114470"/>
    <w:rsid w:val="00115B5E"/>
    <w:rsid w:val="001166FA"/>
    <w:rsid w:val="00116C84"/>
    <w:rsid w:val="00121098"/>
    <w:rsid w:val="00122B68"/>
    <w:rsid w:val="0012309E"/>
    <w:rsid w:val="001234CD"/>
    <w:rsid w:val="001254E9"/>
    <w:rsid w:val="00125E18"/>
    <w:rsid w:val="00126ADF"/>
    <w:rsid w:val="00132D48"/>
    <w:rsid w:val="00133AC8"/>
    <w:rsid w:val="00136114"/>
    <w:rsid w:val="00136CF8"/>
    <w:rsid w:val="00141C0E"/>
    <w:rsid w:val="00142F07"/>
    <w:rsid w:val="0014440E"/>
    <w:rsid w:val="00144845"/>
    <w:rsid w:val="001464D0"/>
    <w:rsid w:val="001503BA"/>
    <w:rsid w:val="00150D07"/>
    <w:rsid w:val="00150E0E"/>
    <w:rsid w:val="00151C15"/>
    <w:rsid w:val="001522BC"/>
    <w:rsid w:val="001528D2"/>
    <w:rsid w:val="00152CB3"/>
    <w:rsid w:val="00153B98"/>
    <w:rsid w:val="00155C30"/>
    <w:rsid w:val="00155DE6"/>
    <w:rsid w:val="001566E1"/>
    <w:rsid w:val="00156D91"/>
    <w:rsid w:val="001640E5"/>
    <w:rsid w:val="001646F8"/>
    <w:rsid w:val="00165579"/>
    <w:rsid w:val="001670BE"/>
    <w:rsid w:val="001671C8"/>
    <w:rsid w:val="00171388"/>
    <w:rsid w:val="001718BC"/>
    <w:rsid w:val="00180106"/>
    <w:rsid w:val="00180D57"/>
    <w:rsid w:val="00181228"/>
    <w:rsid w:val="00183510"/>
    <w:rsid w:val="00183A8E"/>
    <w:rsid w:val="001870AD"/>
    <w:rsid w:val="00190230"/>
    <w:rsid w:val="00190B4B"/>
    <w:rsid w:val="00191E23"/>
    <w:rsid w:val="00196086"/>
    <w:rsid w:val="00196674"/>
    <w:rsid w:val="00196CF4"/>
    <w:rsid w:val="0019790D"/>
    <w:rsid w:val="001A2BCB"/>
    <w:rsid w:val="001A562C"/>
    <w:rsid w:val="001A588F"/>
    <w:rsid w:val="001A6852"/>
    <w:rsid w:val="001B0953"/>
    <w:rsid w:val="001B0F1D"/>
    <w:rsid w:val="001B3FDB"/>
    <w:rsid w:val="001B5749"/>
    <w:rsid w:val="001B5E38"/>
    <w:rsid w:val="001B68EF"/>
    <w:rsid w:val="001C02A5"/>
    <w:rsid w:val="001C0E93"/>
    <w:rsid w:val="001C17DB"/>
    <w:rsid w:val="001C4B60"/>
    <w:rsid w:val="001C78BB"/>
    <w:rsid w:val="001D11F0"/>
    <w:rsid w:val="001D16E4"/>
    <w:rsid w:val="001D26DC"/>
    <w:rsid w:val="001D2DFA"/>
    <w:rsid w:val="001D59C7"/>
    <w:rsid w:val="001D7214"/>
    <w:rsid w:val="001E2559"/>
    <w:rsid w:val="001E384C"/>
    <w:rsid w:val="001E42C6"/>
    <w:rsid w:val="001E4FF5"/>
    <w:rsid w:val="001E521C"/>
    <w:rsid w:val="001E62EC"/>
    <w:rsid w:val="001E68DD"/>
    <w:rsid w:val="001E6CD4"/>
    <w:rsid w:val="001E6D85"/>
    <w:rsid w:val="001F0999"/>
    <w:rsid w:val="001F1193"/>
    <w:rsid w:val="001F3A0A"/>
    <w:rsid w:val="001F4028"/>
    <w:rsid w:val="001F4B88"/>
    <w:rsid w:val="001F544E"/>
    <w:rsid w:val="001F6536"/>
    <w:rsid w:val="001F75D0"/>
    <w:rsid w:val="0020025F"/>
    <w:rsid w:val="00200557"/>
    <w:rsid w:val="00200785"/>
    <w:rsid w:val="00201967"/>
    <w:rsid w:val="0020523A"/>
    <w:rsid w:val="00205825"/>
    <w:rsid w:val="00205B33"/>
    <w:rsid w:val="0021402F"/>
    <w:rsid w:val="00217B6F"/>
    <w:rsid w:val="00222662"/>
    <w:rsid w:val="002257DC"/>
    <w:rsid w:val="00227083"/>
    <w:rsid w:val="0022729D"/>
    <w:rsid w:val="002301B9"/>
    <w:rsid w:val="00230DF6"/>
    <w:rsid w:val="0023291D"/>
    <w:rsid w:val="00233D96"/>
    <w:rsid w:val="002362FB"/>
    <w:rsid w:val="00236CE9"/>
    <w:rsid w:val="00237C21"/>
    <w:rsid w:val="00240DBE"/>
    <w:rsid w:val="002439AC"/>
    <w:rsid w:val="00244673"/>
    <w:rsid w:val="00244CBC"/>
    <w:rsid w:val="002460D1"/>
    <w:rsid w:val="00247294"/>
    <w:rsid w:val="0025446D"/>
    <w:rsid w:val="00256CDC"/>
    <w:rsid w:val="00257C05"/>
    <w:rsid w:val="00260862"/>
    <w:rsid w:val="00263222"/>
    <w:rsid w:val="00264C4C"/>
    <w:rsid w:val="00265C3C"/>
    <w:rsid w:val="00270E23"/>
    <w:rsid w:val="00273F47"/>
    <w:rsid w:val="00280D32"/>
    <w:rsid w:val="00282549"/>
    <w:rsid w:val="002832B5"/>
    <w:rsid w:val="00283EA3"/>
    <w:rsid w:val="0028494A"/>
    <w:rsid w:val="00292E83"/>
    <w:rsid w:val="00294CDF"/>
    <w:rsid w:val="00295514"/>
    <w:rsid w:val="00297399"/>
    <w:rsid w:val="00297DA6"/>
    <w:rsid w:val="002A08FB"/>
    <w:rsid w:val="002A15F7"/>
    <w:rsid w:val="002A23F9"/>
    <w:rsid w:val="002A4703"/>
    <w:rsid w:val="002A4A05"/>
    <w:rsid w:val="002A4AFD"/>
    <w:rsid w:val="002A7524"/>
    <w:rsid w:val="002A7948"/>
    <w:rsid w:val="002A7E43"/>
    <w:rsid w:val="002B0147"/>
    <w:rsid w:val="002B074C"/>
    <w:rsid w:val="002B0F84"/>
    <w:rsid w:val="002B296C"/>
    <w:rsid w:val="002B2A04"/>
    <w:rsid w:val="002B3A35"/>
    <w:rsid w:val="002B5A11"/>
    <w:rsid w:val="002B5CBE"/>
    <w:rsid w:val="002B7DA7"/>
    <w:rsid w:val="002B7F49"/>
    <w:rsid w:val="002C11BD"/>
    <w:rsid w:val="002C218B"/>
    <w:rsid w:val="002C34AF"/>
    <w:rsid w:val="002C4D22"/>
    <w:rsid w:val="002C5577"/>
    <w:rsid w:val="002C56D0"/>
    <w:rsid w:val="002C6D97"/>
    <w:rsid w:val="002D38C6"/>
    <w:rsid w:val="002D54BA"/>
    <w:rsid w:val="002D6DFC"/>
    <w:rsid w:val="002E24DA"/>
    <w:rsid w:val="002E296D"/>
    <w:rsid w:val="002E72D4"/>
    <w:rsid w:val="002F0663"/>
    <w:rsid w:val="002F1A7E"/>
    <w:rsid w:val="002F2989"/>
    <w:rsid w:val="002F4207"/>
    <w:rsid w:val="002F5689"/>
    <w:rsid w:val="002F5E27"/>
    <w:rsid w:val="002F65E4"/>
    <w:rsid w:val="00300349"/>
    <w:rsid w:val="003004CC"/>
    <w:rsid w:val="00300E1D"/>
    <w:rsid w:val="00301665"/>
    <w:rsid w:val="00301A09"/>
    <w:rsid w:val="0030258C"/>
    <w:rsid w:val="00304649"/>
    <w:rsid w:val="00304AC2"/>
    <w:rsid w:val="00306790"/>
    <w:rsid w:val="00307773"/>
    <w:rsid w:val="0031186F"/>
    <w:rsid w:val="00311C8A"/>
    <w:rsid w:val="00313EC2"/>
    <w:rsid w:val="00317683"/>
    <w:rsid w:val="00317791"/>
    <w:rsid w:val="0032196D"/>
    <w:rsid w:val="00323977"/>
    <w:rsid w:val="0032528A"/>
    <w:rsid w:val="00325B54"/>
    <w:rsid w:val="00327816"/>
    <w:rsid w:val="003278A9"/>
    <w:rsid w:val="0033111A"/>
    <w:rsid w:val="0033345C"/>
    <w:rsid w:val="00335130"/>
    <w:rsid w:val="00337E3E"/>
    <w:rsid w:val="0034024B"/>
    <w:rsid w:val="003404CD"/>
    <w:rsid w:val="00342E6E"/>
    <w:rsid w:val="0034348A"/>
    <w:rsid w:val="00343687"/>
    <w:rsid w:val="00343FAC"/>
    <w:rsid w:val="0034450A"/>
    <w:rsid w:val="003446EA"/>
    <w:rsid w:val="00344B4B"/>
    <w:rsid w:val="003456E1"/>
    <w:rsid w:val="00345E79"/>
    <w:rsid w:val="003472C7"/>
    <w:rsid w:val="00350F96"/>
    <w:rsid w:val="00352491"/>
    <w:rsid w:val="00352B87"/>
    <w:rsid w:val="00353457"/>
    <w:rsid w:val="00354E19"/>
    <w:rsid w:val="00357004"/>
    <w:rsid w:val="0035735E"/>
    <w:rsid w:val="0035751B"/>
    <w:rsid w:val="00357C32"/>
    <w:rsid w:val="00357EA6"/>
    <w:rsid w:val="003601A8"/>
    <w:rsid w:val="003602ED"/>
    <w:rsid w:val="00360C24"/>
    <w:rsid w:val="00360D0A"/>
    <w:rsid w:val="0036171B"/>
    <w:rsid w:val="00362242"/>
    <w:rsid w:val="0036280E"/>
    <w:rsid w:val="00362CDC"/>
    <w:rsid w:val="00363990"/>
    <w:rsid w:val="00363BF8"/>
    <w:rsid w:val="003679A6"/>
    <w:rsid w:val="003705FE"/>
    <w:rsid w:val="00371508"/>
    <w:rsid w:val="003715D0"/>
    <w:rsid w:val="00372B6A"/>
    <w:rsid w:val="0037355C"/>
    <w:rsid w:val="0037659B"/>
    <w:rsid w:val="00385128"/>
    <w:rsid w:val="00386B1D"/>
    <w:rsid w:val="00391C41"/>
    <w:rsid w:val="0039263B"/>
    <w:rsid w:val="00392BD1"/>
    <w:rsid w:val="0039310D"/>
    <w:rsid w:val="00394D9E"/>
    <w:rsid w:val="0039541B"/>
    <w:rsid w:val="003966C5"/>
    <w:rsid w:val="00396DDF"/>
    <w:rsid w:val="003A1033"/>
    <w:rsid w:val="003A2FD9"/>
    <w:rsid w:val="003A61EF"/>
    <w:rsid w:val="003A7400"/>
    <w:rsid w:val="003B4F82"/>
    <w:rsid w:val="003B63D6"/>
    <w:rsid w:val="003C419E"/>
    <w:rsid w:val="003C4474"/>
    <w:rsid w:val="003C5879"/>
    <w:rsid w:val="003C5EAE"/>
    <w:rsid w:val="003D190C"/>
    <w:rsid w:val="003D1CC9"/>
    <w:rsid w:val="003D388F"/>
    <w:rsid w:val="003D3C88"/>
    <w:rsid w:val="003D4133"/>
    <w:rsid w:val="003D4D74"/>
    <w:rsid w:val="003D7A9A"/>
    <w:rsid w:val="003E0385"/>
    <w:rsid w:val="003E1636"/>
    <w:rsid w:val="003E27AA"/>
    <w:rsid w:val="003E4517"/>
    <w:rsid w:val="003E50E1"/>
    <w:rsid w:val="003E7DCC"/>
    <w:rsid w:val="003E7FE3"/>
    <w:rsid w:val="003F4A6E"/>
    <w:rsid w:val="003F6E69"/>
    <w:rsid w:val="003F7AA0"/>
    <w:rsid w:val="00400588"/>
    <w:rsid w:val="00400EA8"/>
    <w:rsid w:val="00401114"/>
    <w:rsid w:val="0040273B"/>
    <w:rsid w:val="0040344D"/>
    <w:rsid w:val="00403896"/>
    <w:rsid w:val="00403E8F"/>
    <w:rsid w:val="004056A4"/>
    <w:rsid w:val="004056E8"/>
    <w:rsid w:val="00406FDC"/>
    <w:rsid w:val="004109FB"/>
    <w:rsid w:val="00411B9B"/>
    <w:rsid w:val="00414A1D"/>
    <w:rsid w:val="00416CB9"/>
    <w:rsid w:val="00417E47"/>
    <w:rsid w:val="00423349"/>
    <w:rsid w:val="0042371E"/>
    <w:rsid w:val="00426A6C"/>
    <w:rsid w:val="00426C3D"/>
    <w:rsid w:val="004328A3"/>
    <w:rsid w:val="00433218"/>
    <w:rsid w:val="00435FEB"/>
    <w:rsid w:val="0044058A"/>
    <w:rsid w:val="00445A4C"/>
    <w:rsid w:val="00445A7D"/>
    <w:rsid w:val="00445CA9"/>
    <w:rsid w:val="004464B8"/>
    <w:rsid w:val="00450443"/>
    <w:rsid w:val="00451C80"/>
    <w:rsid w:val="004523FD"/>
    <w:rsid w:val="00453FB1"/>
    <w:rsid w:val="004545AD"/>
    <w:rsid w:val="00463D83"/>
    <w:rsid w:val="00465066"/>
    <w:rsid w:val="00470DE4"/>
    <w:rsid w:val="004712AE"/>
    <w:rsid w:val="00471717"/>
    <w:rsid w:val="00471E77"/>
    <w:rsid w:val="004722E1"/>
    <w:rsid w:val="0047285B"/>
    <w:rsid w:val="0047320B"/>
    <w:rsid w:val="00474A96"/>
    <w:rsid w:val="0047611C"/>
    <w:rsid w:val="00477D0F"/>
    <w:rsid w:val="004817AB"/>
    <w:rsid w:val="00481C57"/>
    <w:rsid w:val="00482268"/>
    <w:rsid w:val="004843DD"/>
    <w:rsid w:val="00486BFF"/>
    <w:rsid w:val="0048736D"/>
    <w:rsid w:val="004874BC"/>
    <w:rsid w:val="0049147C"/>
    <w:rsid w:val="004916F1"/>
    <w:rsid w:val="004A41E2"/>
    <w:rsid w:val="004A5072"/>
    <w:rsid w:val="004A5A51"/>
    <w:rsid w:val="004A6E39"/>
    <w:rsid w:val="004A7208"/>
    <w:rsid w:val="004B0DE6"/>
    <w:rsid w:val="004B27B7"/>
    <w:rsid w:val="004B29E8"/>
    <w:rsid w:val="004B3A69"/>
    <w:rsid w:val="004B3FB4"/>
    <w:rsid w:val="004B4CEC"/>
    <w:rsid w:val="004B5387"/>
    <w:rsid w:val="004B5D0A"/>
    <w:rsid w:val="004B6142"/>
    <w:rsid w:val="004C0BA0"/>
    <w:rsid w:val="004C2261"/>
    <w:rsid w:val="004C5588"/>
    <w:rsid w:val="004C5E97"/>
    <w:rsid w:val="004C6DBD"/>
    <w:rsid w:val="004C7630"/>
    <w:rsid w:val="004D310E"/>
    <w:rsid w:val="004D48A9"/>
    <w:rsid w:val="004D496D"/>
    <w:rsid w:val="004D5A73"/>
    <w:rsid w:val="004D70A3"/>
    <w:rsid w:val="004D711A"/>
    <w:rsid w:val="004E2114"/>
    <w:rsid w:val="004E27BA"/>
    <w:rsid w:val="004E3897"/>
    <w:rsid w:val="004E5760"/>
    <w:rsid w:val="004E767A"/>
    <w:rsid w:val="004E7F69"/>
    <w:rsid w:val="004F5928"/>
    <w:rsid w:val="004F6B1F"/>
    <w:rsid w:val="004F7E18"/>
    <w:rsid w:val="00500943"/>
    <w:rsid w:val="005047E3"/>
    <w:rsid w:val="00504B49"/>
    <w:rsid w:val="005052DB"/>
    <w:rsid w:val="00505A6E"/>
    <w:rsid w:val="005104FE"/>
    <w:rsid w:val="005129DE"/>
    <w:rsid w:val="00512CCA"/>
    <w:rsid w:val="00514A97"/>
    <w:rsid w:val="0051731A"/>
    <w:rsid w:val="005175F1"/>
    <w:rsid w:val="0052154F"/>
    <w:rsid w:val="0052250F"/>
    <w:rsid w:val="00523611"/>
    <w:rsid w:val="00523AFC"/>
    <w:rsid w:val="00525083"/>
    <w:rsid w:val="005252B1"/>
    <w:rsid w:val="0052620C"/>
    <w:rsid w:val="00527C0A"/>
    <w:rsid w:val="00530490"/>
    <w:rsid w:val="00530A3B"/>
    <w:rsid w:val="00534BBD"/>
    <w:rsid w:val="00534FB6"/>
    <w:rsid w:val="0053739D"/>
    <w:rsid w:val="005418FE"/>
    <w:rsid w:val="00544826"/>
    <w:rsid w:val="00545CD2"/>
    <w:rsid w:val="0054770D"/>
    <w:rsid w:val="005477BF"/>
    <w:rsid w:val="00551A77"/>
    <w:rsid w:val="00560BB2"/>
    <w:rsid w:val="005611FE"/>
    <w:rsid w:val="00564CAE"/>
    <w:rsid w:val="00565320"/>
    <w:rsid w:val="0056570C"/>
    <w:rsid w:val="00566008"/>
    <w:rsid w:val="005703DA"/>
    <w:rsid w:val="00572282"/>
    <w:rsid w:val="00572B33"/>
    <w:rsid w:val="00573F4C"/>
    <w:rsid w:val="00580094"/>
    <w:rsid w:val="005827B7"/>
    <w:rsid w:val="0058589D"/>
    <w:rsid w:val="005866FC"/>
    <w:rsid w:val="00587B45"/>
    <w:rsid w:val="005A47FD"/>
    <w:rsid w:val="005A4C6D"/>
    <w:rsid w:val="005A5253"/>
    <w:rsid w:val="005A57AB"/>
    <w:rsid w:val="005A733E"/>
    <w:rsid w:val="005A7A8E"/>
    <w:rsid w:val="005B03F9"/>
    <w:rsid w:val="005B20C1"/>
    <w:rsid w:val="005B2F79"/>
    <w:rsid w:val="005B367A"/>
    <w:rsid w:val="005B63D7"/>
    <w:rsid w:val="005B6CFC"/>
    <w:rsid w:val="005B71B0"/>
    <w:rsid w:val="005C0D16"/>
    <w:rsid w:val="005C1E46"/>
    <w:rsid w:val="005C4111"/>
    <w:rsid w:val="005C455B"/>
    <w:rsid w:val="005C6F1E"/>
    <w:rsid w:val="005C751F"/>
    <w:rsid w:val="005C7E55"/>
    <w:rsid w:val="005D01D8"/>
    <w:rsid w:val="005D03F0"/>
    <w:rsid w:val="005D1C66"/>
    <w:rsid w:val="005D2CBA"/>
    <w:rsid w:val="005D318B"/>
    <w:rsid w:val="005D6EFD"/>
    <w:rsid w:val="005E09B8"/>
    <w:rsid w:val="005E223D"/>
    <w:rsid w:val="005E3EE9"/>
    <w:rsid w:val="005F1F65"/>
    <w:rsid w:val="005F28F3"/>
    <w:rsid w:val="005F2987"/>
    <w:rsid w:val="005F5A5A"/>
    <w:rsid w:val="005F75A0"/>
    <w:rsid w:val="00602CDA"/>
    <w:rsid w:val="00602D78"/>
    <w:rsid w:val="00603F88"/>
    <w:rsid w:val="00604A30"/>
    <w:rsid w:val="00606C27"/>
    <w:rsid w:val="0060737C"/>
    <w:rsid w:val="006121AF"/>
    <w:rsid w:val="00614FE9"/>
    <w:rsid w:val="006173D2"/>
    <w:rsid w:val="00622026"/>
    <w:rsid w:val="00622B4C"/>
    <w:rsid w:val="0062589D"/>
    <w:rsid w:val="00625DD3"/>
    <w:rsid w:val="00630928"/>
    <w:rsid w:val="00631057"/>
    <w:rsid w:val="006317A5"/>
    <w:rsid w:val="00634CC1"/>
    <w:rsid w:val="00635B68"/>
    <w:rsid w:val="0063671D"/>
    <w:rsid w:val="0063675C"/>
    <w:rsid w:val="00640A9F"/>
    <w:rsid w:val="00640EDF"/>
    <w:rsid w:val="00641786"/>
    <w:rsid w:val="00642C68"/>
    <w:rsid w:val="00642D96"/>
    <w:rsid w:val="00643D2C"/>
    <w:rsid w:val="00644863"/>
    <w:rsid w:val="00650EF1"/>
    <w:rsid w:val="00653A23"/>
    <w:rsid w:val="006548B6"/>
    <w:rsid w:val="006550C2"/>
    <w:rsid w:val="00655EB1"/>
    <w:rsid w:val="00656E66"/>
    <w:rsid w:val="0065736E"/>
    <w:rsid w:val="00660F9D"/>
    <w:rsid w:val="006655F4"/>
    <w:rsid w:val="006678CF"/>
    <w:rsid w:val="0067016A"/>
    <w:rsid w:val="00670588"/>
    <w:rsid w:val="00670F68"/>
    <w:rsid w:val="00676383"/>
    <w:rsid w:val="00676D21"/>
    <w:rsid w:val="00680485"/>
    <w:rsid w:val="00681321"/>
    <w:rsid w:val="0068445A"/>
    <w:rsid w:val="0068629A"/>
    <w:rsid w:val="006904CB"/>
    <w:rsid w:val="00690898"/>
    <w:rsid w:val="00690D6D"/>
    <w:rsid w:val="00691FEA"/>
    <w:rsid w:val="006948D0"/>
    <w:rsid w:val="00696BE5"/>
    <w:rsid w:val="00697607"/>
    <w:rsid w:val="006978CA"/>
    <w:rsid w:val="006A01A7"/>
    <w:rsid w:val="006A0D61"/>
    <w:rsid w:val="006A14DE"/>
    <w:rsid w:val="006A4976"/>
    <w:rsid w:val="006A4BB4"/>
    <w:rsid w:val="006A5F63"/>
    <w:rsid w:val="006B3107"/>
    <w:rsid w:val="006B3309"/>
    <w:rsid w:val="006B3555"/>
    <w:rsid w:val="006B5101"/>
    <w:rsid w:val="006B554B"/>
    <w:rsid w:val="006B71ED"/>
    <w:rsid w:val="006B7D76"/>
    <w:rsid w:val="006C21B9"/>
    <w:rsid w:val="006C38AA"/>
    <w:rsid w:val="006C46DE"/>
    <w:rsid w:val="006C6912"/>
    <w:rsid w:val="006C6E9F"/>
    <w:rsid w:val="006D1F06"/>
    <w:rsid w:val="006D292D"/>
    <w:rsid w:val="006D3134"/>
    <w:rsid w:val="006D731D"/>
    <w:rsid w:val="006E1092"/>
    <w:rsid w:val="006E24B5"/>
    <w:rsid w:val="006E2C80"/>
    <w:rsid w:val="006E5618"/>
    <w:rsid w:val="006E7A41"/>
    <w:rsid w:val="006F55FD"/>
    <w:rsid w:val="0070043D"/>
    <w:rsid w:val="007028E4"/>
    <w:rsid w:val="00702A9C"/>
    <w:rsid w:val="00704789"/>
    <w:rsid w:val="00707594"/>
    <w:rsid w:val="00711111"/>
    <w:rsid w:val="007117CC"/>
    <w:rsid w:val="00713EBE"/>
    <w:rsid w:val="00714BF0"/>
    <w:rsid w:val="0071605C"/>
    <w:rsid w:val="00720885"/>
    <w:rsid w:val="007242F6"/>
    <w:rsid w:val="00724771"/>
    <w:rsid w:val="00724772"/>
    <w:rsid w:val="00724B6C"/>
    <w:rsid w:val="00732521"/>
    <w:rsid w:val="00741502"/>
    <w:rsid w:val="00743EEB"/>
    <w:rsid w:val="0074482B"/>
    <w:rsid w:val="007453E5"/>
    <w:rsid w:val="00747581"/>
    <w:rsid w:val="00747DCE"/>
    <w:rsid w:val="0075008E"/>
    <w:rsid w:val="00750FF0"/>
    <w:rsid w:val="007512B3"/>
    <w:rsid w:val="0075500C"/>
    <w:rsid w:val="0075565B"/>
    <w:rsid w:val="00755C78"/>
    <w:rsid w:val="00756D6F"/>
    <w:rsid w:val="0076000F"/>
    <w:rsid w:val="007638D3"/>
    <w:rsid w:val="00764862"/>
    <w:rsid w:val="00770706"/>
    <w:rsid w:val="00770FDF"/>
    <w:rsid w:val="00773341"/>
    <w:rsid w:val="00773B21"/>
    <w:rsid w:val="0077479A"/>
    <w:rsid w:val="00774945"/>
    <w:rsid w:val="00780FA3"/>
    <w:rsid w:val="007811AD"/>
    <w:rsid w:val="007825DB"/>
    <w:rsid w:val="0078337B"/>
    <w:rsid w:val="00783C22"/>
    <w:rsid w:val="0078548E"/>
    <w:rsid w:val="0079057D"/>
    <w:rsid w:val="00790BF8"/>
    <w:rsid w:val="00792BB9"/>
    <w:rsid w:val="00794A59"/>
    <w:rsid w:val="00795487"/>
    <w:rsid w:val="00795A31"/>
    <w:rsid w:val="0079666B"/>
    <w:rsid w:val="00796ED8"/>
    <w:rsid w:val="00797841"/>
    <w:rsid w:val="00797E02"/>
    <w:rsid w:val="007A2AD7"/>
    <w:rsid w:val="007A50F8"/>
    <w:rsid w:val="007A5248"/>
    <w:rsid w:val="007A56CC"/>
    <w:rsid w:val="007A6207"/>
    <w:rsid w:val="007A6D5E"/>
    <w:rsid w:val="007A795D"/>
    <w:rsid w:val="007B0989"/>
    <w:rsid w:val="007B1298"/>
    <w:rsid w:val="007B16DF"/>
    <w:rsid w:val="007B6856"/>
    <w:rsid w:val="007C3CE6"/>
    <w:rsid w:val="007C6205"/>
    <w:rsid w:val="007C6B97"/>
    <w:rsid w:val="007C7C44"/>
    <w:rsid w:val="007D178D"/>
    <w:rsid w:val="007D1B80"/>
    <w:rsid w:val="007D2656"/>
    <w:rsid w:val="007D3A87"/>
    <w:rsid w:val="007D4772"/>
    <w:rsid w:val="007D7269"/>
    <w:rsid w:val="007D7E4B"/>
    <w:rsid w:val="007E0590"/>
    <w:rsid w:val="007E29C5"/>
    <w:rsid w:val="007E3E5A"/>
    <w:rsid w:val="007E5DCC"/>
    <w:rsid w:val="007E6FCD"/>
    <w:rsid w:val="007F08ED"/>
    <w:rsid w:val="007F0E1F"/>
    <w:rsid w:val="007F4A86"/>
    <w:rsid w:val="007F6CAE"/>
    <w:rsid w:val="007F70A9"/>
    <w:rsid w:val="007F7E8B"/>
    <w:rsid w:val="00802A0E"/>
    <w:rsid w:val="00802E63"/>
    <w:rsid w:val="008047C4"/>
    <w:rsid w:val="0080573F"/>
    <w:rsid w:val="008063F1"/>
    <w:rsid w:val="0080786E"/>
    <w:rsid w:val="00807A32"/>
    <w:rsid w:val="0081100E"/>
    <w:rsid w:val="00811099"/>
    <w:rsid w:val="00811614"/>
    <w:rsid w:val="00811F6B"/>
    <w:rsid w:val="00812306"/>
    <w:rsid w:val="00812418"/>
    <w:rsid w:val="008131FF"/>
    <w:rsid w:val="008133A6"/>
    <w:rsid w:val="008142A4"/>
    <w:rsid w:val="008143D9"/>
    <w:rsid w:val="008164EE"/>
    <w:rsid w:val="0081740D"/>
    <w:rsid w:val="00822093"/>
    <w:rsid w:val="00825456"/>
    <w:rsid w:val="00825D78"/>
    <w:rsid w:val="00826003"/>
    <w:rsid w:val="00826647"/>
    <w:rsid w:val="0083045D"/>
    <w:rsid w:val="00830B24"/>
    <w:rsid w:val="00830E87"/>
    <w:rsid w:val="00831257"/>
    <w:rsid w:val="008316A5"/>
    <w:rsid w:val="00831A12"/>
    <w:rsid w:val="0083387B"/>
    <w:rsid w:val="00833BBB"/>
    <w:rsid w:val="00833E31"/>
    <w:rsid w:val="0083407E"/>
    <w:rsid w:val="00834AB4"/>
    <w:rsid w:val="00835558"/>
    <w:rsid w:val="008377DD"/>
    <w:rsid w:val="00840E26"/>
    <w:rsid w:val="00842FD7"/>
    <w:rsid w:val="00845081"/>
    <w:rsid w:val="00846603"/>
    <w:rsid w:val="00846E74"/>
    <w:rsid w:val="00847A35"/>
    <w:rsid w:val="00852EFD"/>
    <w:rsid w:val="00853AB2"/>
    <w:rsid w:val="00853E2B"/>
    <w:rsid w:val="008606F5"/>
    <w:rsid w:val="00862856"/>
    <w:rsid w:val="008634BE"/>
    <w:rsid w:val="00863C7A"/>
    <w:rsid w:val="0086593C"/>
    <w:rsid w:val="008729FF"/>
    <w:rsid w:val="00872E75"/>
    <w:rsid w:val="0087446C"/>
    <w:rsid w:val="0087635A"/>
    <w:rsid w:val="00876CBE"/>
    <w:rsid w:val="0088085A"/>
    <w:rsid w:val="00882919"/>
    <w:rsid w:val="00883995"/>
    <w:rsid w:val="00884071"/>
    <w:rsid w:val="008845FF"/>
    <w:rsid w:val="00884D77"/>
    <w:rsid w:val="00890555"/>
    <w:rsid w:val="00891C40"/>
    <w:rsid w:val="00891D3A"/>
    <w:rsid w:val="008943E0"/>
    <w:rsid w:val="008958F5"/>
    <w:rsid w:val="0089596C"/>
    <w:rsid w:val="008A0206"/>
    <w:rsid w:val="008A1F45"/>
    <w:rsid w:val="008A348B"/>
    <w:rsid w:val="008A468D"/>
    <w:rsid w:val="008A6191"/>
    <w:rsid w:val="008A628C"/>
    <w:rsid w:val="008A746C"/>
    <w:rsid w:val="008B0F6E"/>
    <w:rsid w:val="008B3D25"/>
    <w:rsid w:val="008B5113"/>
    <w:rsid w:val="008C353A"/>
    <w:rsid w:val="008C744E"/>
    <w:rsid w:val="008C7EB6"/>
    <w:rsid w:val="008D22B9"/>
    <w:rsid w:val="008D3764"/>
    <w:rsid w:val="008D72E6"/>
    <w:rsid w:val="008D798B"/>
    <w:rsid w:val="008D7E47"/>
    <w:rsid w:val="008E1655"/>
    <w:rsid w:val="008E1B11"/>
    <w:rsid w:val="008E63E3"/>
    <w:rsid w:val="008E789C"/>
    <w:rsid w:val="008F11F0"/>
    <w:rsid w:val="008F296D"/>
    <w:rsid w:val="008F2EE0"/>
    <w:rsid w:val="008F66D3"/>
    <w:rsid w:val="008F7788"/>
    <w:rsid w:val="0090077E"/>
    <w:rsid w:val="009028EF"/>
    <w:rsid w:val="009032F2"/>
    <w:rsid w:val="00903B82"/>
    <w:rsid w:val="0090560A"/>
    <w:rsid w:val="00906EBB"/>
    <w:rsid w:val="009072F3"/>
    <w:rsid w:val="009100FF"/>
    <w:rsid w:val="00911B9E"/>
    <w:rsid w:val="009137E2"/>
    <w:rsid w:val="0091513C"/>
    <w:rsid w:val="00920D66"/>
    <w:rsid w:val="00921368"/>
    <w:rsid w:val="00922515"/>
    <w:rsid w:val="00927EEB"/>
    <w:rsid w:val="00930484"/>
    <w:rsid w:val="00930BEF"/>
    <w:rsid w:val="0093308E"/>
    <w:rsid w:val="00933B1C"/>
    <w:rsid w:val="00934468"/>
    <w:rsid w:val="00935E67"/>
    <w:rsid w:val="00936F93"/>
    <w:rsid w:val="00941672"/>
    <w:rsid w:val="009422AA"/>
    <w:rsid w:val="00942C8B"/>
    <w:rsid w:val="009448CD"/>
    <w:rsid w:val="00947435"/>
    <w:rsid w:val="00950523"/>
    <w:rsid w:val="009508A6"/>
    <w:rsid w:val="00951A0A"/>
    <w:rsid w:val="00956479"/>
    <w:rsid w:val="00956760"/>
    <w:rsid w:val="0095715B"/>
    <w:rsid w:val="0096041B"/>
    <w:rsid w:val="0096117C"/>
    <w:rsid w:val="009613F1"/>
    <w:rsid w:val="009645FA"/>
    <w:rsid w:val="00965007"/>
    <w:rsid w:val="00965F5E"/>
    <w:rsid w:val="0096639D"/>
    <w:rsid w:val="00967F8A"/>
    <w:rsid w:val="00971490"/>
    <w:rsid w:val="00971FB1"/>
    <w:rsid w:val="00972C49"/>
    <w:rsid w:val="00973C66"/>
    <w:rsid w:val="00974816"/>
    <w:rsid w:val="00980E47"/>
    <w:rsid w:val="00983579"/>
    <w:rsid w:val="00985902"/>
    <w:rsid w:val="009859B7"/>
    <w:rsid w:val="00985F6C"/>
    <w:rsid w:val="0098726D"/>
    <w:rsid w:val="00987D19"/>
    <w:rsid w:val="00992096"/>
    <w:rsid w:val="00993164"/>
    <w:rsid w:val="0099349A"/>
    <w:rsid w:val="00993A9F"/>
    <w:rsid w:val="00995A8D"/>
    <w:rsid w:val="00996133"/>
    <w:rsid w:val="00997823"/>
    <w:rsid w:val="00997AF5"/>
    <w:rsid w:val="009A0732"/>
    <w:rsid w:val="009A2F1B"/>
    <w:rsid w:val="009A4136"/>
    <w:rsid w:val="009A4F8E"/>
    <w:rsid w:val="009A60B4"/>
    <w:rsid w:val="009A6556"/>
    <w:rsid w:val="009A786F"/>
    <w:rsid w:val="009B13BD"/>
    <w:rsid w:val="009B31FD"/>
    <w:rsid w:val="009B33CA"/>
    <w:rsid w:val="009B3E69"/>
    <w:rsid w:val="009B3FD8"/>
    <w:rsid w:val="009C0CA6"/>
    <w:rsid w:val="009C29CE"/>
    <w:rsid w:val="009C4467"/>
    <w:rsid w:val="009C6249"/>
    <w:rsid w:val="009C7E1C"/>
    <w:rsid w:val="009D1615"/>
    <w:rsid w:val="009D1A08"/>
    <w:rsid w:val="009D1BA0"/>
    <w:rsid w:val="009D3004"/>
    <w:rsid w:val="009D307A"/>
    <w:rsid w:val="009D3466"/>
    <w:rsid w:val="009D3ABA"/>
    <w:rsid w:val="009D3C3C"/>
    <w:rsid w:val="009D4F01"/>
    <w:rsid w:val="009D5E1A"/>
    <w:rsid w:val="009E163B"/>
    <w:rsid w:val="009E17CD"/>
    <w:rsid w:val="009E6747"/>
    <w:rsid w:val="009E76E6"/>
    <w:rsid w:val="009F0498"/>
    <w:rsid w:val="009F166F"/>
    <w:rsid w:val="009F1FBD"/>
    <w:rsid w:val="009F2030"/>
    <w:rsid w:val="009F51CC"/>
    <w:rsid w:val="009F5E89"/>
    <w:rsid w:val="009F70B5"/>
    <w:rsid w:val="009F7548"/>
    <w:rsid w:val="009F7E0D"/>
    <w:rsid w:val="00A020A1"/>
    <w:rsid w:val="00A02A25"/>
    <w:rsid w:val="00A042D6"/>
    <w:rsid w:val="00A04468"/>
    <w:rsid w:val="00A05181"/>
    <w:rsid w:val="00A058D6"/>
    <w:rsid w:val="00A0753F"/>
    <w:rsid w:val="00A078AB"/>
    <w:rsid w:val="00A1152D"/>
    <w:rsid w:val="00A1159A"/>
    <w:rsid w:val="00A1181F"/>
    <w:rsid w:val="00A12E18"/>
    <w:rsid w:val="00A160A4"/>
    <w:rsid w:val="00A1680A"/>
    <w:rsid w:val="00A16CF8"/>
    <w:rsid w:val="00A179E0"/>
    <w:rsid w:val="00A21C79"/>
    <w:rsid w:val="00A228D3"/>
    <w:rsid w:val="00A22C36"/>
    <w:rsid w:val="00A22E70"/>
    <w:rsid w:val="00A253D1"/>
    <w:rsid w:val="00A25FB5"/>
    <w:rsid w:val="00A30974"/>
    <w:rsid w:val="00A30DA3"/>
    <w:rsid w:val="00A31287"/>
    <w:rsid w:val="00A325C3"/>
    <w:rsid w:val="00A34BD7"/>
    <w:rsid w:val="00A353C4"/>
    <w:rsid w:val="00A3628D"/>
    <w:rsid w:val="00A36403"/>
    <w:rsid w:val="00A36A5F"/>
    <w:rsid w:val="00A40654"/>
    <w:rsid w:val="00A410AD"/>
    <w:rsid w:val="00A47840"/>
    <w:rsid w:val="00A53F20"/>
    <w:rsid w:val="00A548F8"/>
    <w:rsid w:val="00A55B20"/>
    <w:rsid w:val="00A55B53"/>
    <w:rsid w:val="00A60546"/>
    <w:rsid w:val="00A639D3"/>
    <w:rsid w:val="00A66D2A"/>
    <w:rsid w:val="00A67D01"/>
    <w:rsid w:val="00A701E7"/>
    <w:rsid w:val="00A70F54"/>
    <w:rsid w:val="00A712E9"/>
    <w:rsid w:val="00A726B5"/>
    <w:rsid w:val="00A72FF1"/>
    <w:rsid w:val="00A73938"/>
    <w:rsid w:val="00A7472B"/>
    <w:rsid w:val="00A76435"/>
    <w:rsid w:val="00A76D11"/>
    <w:rsid w:val="00A82CE6"/>
    <w:rsid w:val="00A82FA4"/>
    <w:rsid w:val="00A847EB"/>
    <w:rsid w:val="00A848E7"/>
    <w:rsid w:val="00A84CE5"/>
    <w:rsid w:val="00A858FD"/>
    <w:rsid w:val="00A877BB"/>
    <w:rsid w:val="00A907D9"/>
    <w:rsid w:val="00A91C69"/>
    <w:rsid w:val="00A9258F"/>
    <w:rsid w:val="00A92709"/>
    <w:rsid w:val="00A95E36"/>
    <w:rsid w:val="00A96D23"/>
    <w:rsid w:val="00AA2213"/>
    <w:rsid w:val="00AA2E75"/>
    <w:rsid w:val="00AA46C1"/>
    <w:rsid w:val="00AA493A"/>
    <w:rsid w:val="00AA5F71"/>
    <w:rsid w:val="00AA6721"/>
    <w:rsid w:val="00AA6A8B"/>
    <w:rsid w:val="00AA745F"/>
    <w:rsid w:val="00AB04F4"/>
    <w:rsid w:val="00AB3A99"/>
    <w:rsid w:val="00AB3DAC"/>
    <w:rsid w:val="00AB70D0"/>
    <w:rsid w:val="00AC008A"/>
    <w:rsid w:val="00AC0E1F"/>
    <w:rsid w:val="00AC2F5A"/>
    <w:rsid w:val="00AC364D"/>
    <w:rsid w:val="00AC51CC"/>
    <w:rsid w:val="00AC582B"/>
    <w:rsid w:val="00AC68F1"/>
    <w:rsid w:val="00AC7326"/>
    <w:rsid w:val="00AD0CD4"/>
    <w:rsid w:val="00AD328B"/>
    <w:rsid w:val="00AD36A9"/>
    <w:rsid w:val="00AD417A"/>
    <w:rsid w:val="00AD4EFB"/>
    <w:rsid w:val="00AD7162"/>
    <w:rsid w:val="00AD7319"/>
    <w:rsid w:val="00AD74FE"/>
    <w:rsid w:val="00AE396D"/>
    <w:rsid w:val="00AE53ED"/>
    <w:rsid w:val="00AE5628"/>
    <w:rsid w:val="00AE596D"/>
    <w:rsid w:val="00AF0546"/>
    <w:rsid w:val="00AF0CD6"/>
    <w:rsid w:val="00AF0DFD"/>
    <w:rsid w:val="00AF2B7B"/>
    <w:rsid w:val="00AF3FFA"/>
    <w:rsid w:val="00B06B0A"/>
    <w:rsid w:val="00B06F1D"/>
    <w:rsid w:val="00B107B2"/>
    <w:rsid w:val="00B10939"/>
    <w:rsid w:val="00B10BCD"/>
    <w:rsid w:val="00B110BD"/>
    <w:rsid w:val="00B12788"/>
    <w:rsid w:val="00B132D9"/>
    <w:rsid w:val="00B1472B"/>
    <w:rsid w:val="00B1647B"/>
    <w:rsid w:val="00B17B95"/>
    <w:rsid w:val="00B17F86"/>
    <w:rsid w:val="00B20476"/>
    <w:rsid w:val="00B22275"/>
    <w:rsid w:val="00B255C8"/>
    <w:rsid w:val="00B30D3C"/>
    <w:rsid w:val="00B322D2"/>
    <w:rsid w:val="00B32585"/>
    <w:rsid w:val="00B327BE"/>
    <w:rsid w:val="00B34EB6"/>
    <w:rsid w:val="00B36385"/>
    <w:rsid w:val="00B403EB"/>
    <w:rsid w:val="00B4203E"/>
    <w:rsid w:val="00B420F5"/>
    <w:rsid w:val="00B423AD"/>
    <w:rsid w:val="00B42727"/>
    <w:rsid w:val="00B55802"/>
    <w:rsid w:val="00B56566"/>
    <w:rsid w:val="00B56814"/>
    <w:rsid w:val="00B609DC"/>
    <w:rsid w:val="00B60E22"/>
    <w:rsid w:val="00B61323"/>
    <w:rsid w:val="00B61672"/>
    <w:rsid w:val="00B616D8"/>
    <w:rsid w:val="00B61A85"/>
    <w:rsid w:val="00B625E2"/>
    <w:rsid w:val="00B63761"/>
    <w:rsid w:val="00B63801"/>
    <w:rsid w:val="00B64D9B"/>
    <w:rsid w:val="00B64F0B"/>
    <w:rsid w:val="00B6552A"/>
    <w:rsid w:val="00B657E0"/>
    <w:rsid w:val="00B70F83"/>
    <w:rsid w:val="00B713CA"/>
    <w:rsid w:val="00B72142"/>
    <w:rsid w:val="00B72385"/>
    <w:rsid w:val="00B753E6"/>
    <w:rsid w:val="00B755DE"/>
    <w:rsid w:val="00B769FF"/>
    <w:rsid w:val="00B76B9F"/>
    <w:rsid w:val="00B775BE"/>
    <w:rsid w:val="00B84C8A"/>
    <w:rsid w:val="00B85821"/>
    <w:rsid w:val="00B871A8"/>
    <w:rsid w:val="00B93EAC"/>
    <w:rsid w:val="00B94F3C"/>
    <w:rsid w:val="00BA0B32"/>
    <w:rsid w:val="00BA2C2F"/>
    <w:rsid w:val="00BB118E"/>
    <w:rsid w:val="00BB27C0"/>
    <w:rsid w:val="00BB286A"/>
    <w:rsid w:val="00BB2A84"/>
    <w:rsid w:val="00BB3110"/>
    <w:rsid w:val="00BB4A58"/>
    <w:rsid w:val="00BB4C06"/>
    <w:rsid w:val="00BC0F9B"/>
    <w:rsid w:val="00BC1698"/>
    <w:rsid w:val="00BC2D28"/>
    <w:rsid w:val="00BC4713"/>
    <w:rsid w:val="00BC6359"/>
    <w:rsid w:val="00BC6785"/>
    <w:rsid w:val="00BC6DD1"/>
    <w:rsid w:val="00BC732E"/>
    <w:rsid w:val="00BC7DC0"/>
    <w:rsid w:val="00BD2556"/>
    <w:rsid w:val="00BD2C11"/>
    <w:rsid w:val="00BD34BD"/>
    <w:rsid w:val="00BD572D"/>
    <w:rsid w:val="00BD5AFF"/>
    <w:rsid w:val="00BE0AFD"/>
    <w:rsid w:val="00BE21AC"/>
    <w:rsid w:val="00BE34FD"/>
    <w:rsid w:val="00BE4BAB"/>
    <w:rsid w:val="00BF0546"/>
    <w:rsid w:val="00BF1201"/>
    <w:rsid w:val="00BF2100"/>
    <w:rsid w:val="00BF423C"/>
    <w:rsid w:val="00BF4CE9"/>
    <w:rsid w:val="00BF6172"/>
    <w:rsid w:val="00C003E1"/>
    <w:rsid w:val="00C00BD9"/>
    <w:rsid w:val="00C02DFB"/>
    <w:rsid w:val="00C03BF1"/>
    <w:rsid w:val="00C0402B"/>
    <w:rsid w:val="00C049EA"/>
    <w:rsid w:val="00C05F16"/>
    <w:rsid w:val="00C13866"/>
    <w:rsid w:val="00C1423F"/>
    <w:rsid w:val="00C21781"/>
    <w:rsid w:val="00C21DDB"/>
    <w:rsid w:val="00C24D0E"/>
    <w:rsid w:val="00C24DA3"/>
    <w:rsid w:val="00C3259A"/>
    <w:rsid w:val="00C32F8C"/>
    <w:rsid w:val="00C336E6"/>
    <w:rsid w:val="00C33AB4"/>
    <w:rsid w:val="00C36840"/>
    <w:rsid w:val="00C36A7F"/>
    <w:rsid w:val="00C43EB0"/>
    <w:rsid w:val="00C4440A"/>
    <w:rsid w:val="00C44D39"/>
    <w:rsid w:val="00C45743"/>
    <w:rsid w:val="00C47BD8"/>
    <w:rsid w:val="00C56898"/>
    <w:rsid w:val="00C5705D"/>
    <w:rsid w:val="00C60223"/>
    <w:rsid w:val="00C608F8"/>
    <w:rsid w:val="00C631FB"/>
    <w:rsid w:val="00C639D0"/>
    <w:rsid w:val="00C64301"/>
    <w:rsid w:val="00C64E1E"/>
    <w:rsid w:val="00C679A7"/>
    <w:rsid w:val="00C72775"/>
    <w:rsid w:val="00C72A59"/>
    <w:rsid w:val="00C77468"/>
    <w:rsid w:val="00C778CF"/>
    <w:rsid w:val="00C80A5E"/>
    <w:rsid w:val="00C8450C"/>
    <w:rsid w:val="00C857DA"/>
    <w:rsid w:val="00C92A85"/>
    <w:rsid w:val="00C932B7"/>
    <w:rsid w:val="00C93BFC"/>
    <w:rsid w:val="00C965AD"/>
    <w:rsid w:val="00C97AEB"/>
    <w:rsid w:val="00CA0EF4"/>
    <w:rsid w:val="00CA2D82"/>
    <w:rsid w:val="00CA54B2"/>
    <w:rsid w:val="00CB005C"/>
    <w:rsid w:val="00CB0290"/>
    <w:rsid w:val="00CB03FF"/>
    <w:rsid w:val="00CB0C1F"/>
    <w:rsid w:val="00CB13B5"/>
    <w:rsid w:val="00CB3174"/>
    <w:rsid w:val="00CB5DC1"/>
    <w:rsid w:val="00CB68C5"/>
    <w:rsid w:val="00CB6B86"/>
    <w:rsid w:val="00CB71C7"/>
    <w:rsid w:val="00CC14BC"/>
    <w:rsid w:val="00CC34DE"/>
    <w:rsid w:val="00CC4591"/>
    <w:rsid w:val="00CC5836"/>
    <w:rsid w:val="00CC5EDB"/>
    <w:rsid w:val="00CD0636"/>
    <w:rsid w:val="00CD1E27"/>
    <w:rsid w:val="00CD365C"/>
    <w:rsid w:val="00CD370E"/>
    <w:rsid w:val="00CD5E28"/>
    <w:rsid w:val="00CD62D3"/>
    <w:rsid w:val="00CD63FF"/>
    <w:rsid w:val="00CD641D"/>
    <w:rsid w:val="00CE0392"/>
    <w:rsid w:val="00CE0738"/>
    <w:rsid w:val="00CE0A75"/>
    <w:rsid w:val="00CE4295"/>
    <w:rsid w:val="00CE7051"/>
    <w:rsid w:val="00CF090F"/>
    <w:rsid w:val="00CF171F"/>
    <w:rsid w:val="00CF1A72"/>
    <w:rsid w:val="00CF21D1"/>
    <w:rsid w:val="00CF6772"/>
    <w:rsid w:val="00CF6CDC"/>
    <w:rsid w:val="00CF71DB"/>
    <w:rsid w:val="00CF7B79"/>
    <w:rsid w:val="00D02C2E"/>
    <w:rsid w:val="00D0319C"/>
    <w:rsid w:val="00D056A0"/>
    <w:rsid w:val="00D06681"/>
    <w:rsid w:val="00D10F30"/>
    <w:rsid w:val="00D13465"/>
    <w:rsid w:val="00D15567"/>
    <w:rsid w:val="00D16163"/>
    <w:rsid w:val="00D16433"/>
    <w:rsid w:val="00D16EA5"/>
    <w:rsid w:val="00D20F02"/>
    <w:rsid w:val="00D21341"/>
    <w:rsid w:val="00D21573"/>
    <w:rsid w:val="00D21BF7"/>
    <w:rsid w:val="00D222A5"/>
    <w:rsid w:val="00D23240"/>
    <w:rsid w:val="00D2646C"/>
    <w:rsid w:val="00D33E6B"/>
    <w:rsid w:val="00D34827"/>
    <w:rsid w:val="00D36D06"/>
    <w:rsid w:val="00D41DF9"/>
    <w:rsid w:val="00D42678"/>
    <w:rsid w:val="00D42B4E"/>
    <w:rsid w:val="00D441CB"/>
    <w:rsid w:val="00D46FAB"/>
    <w:rsid w:val="00D470D4"/>
    <w:rsid w:val="00D478DF"/>
    <w:rsid w:val="00D50D23"/>
    <w:rsid w:val="00D526E1"/>
    <w:rsid w:val="00D52CA4"/>
    <w:rsid w:val="00D53202"/>
    <w:rsid w:val="00D551C5"/>
    <w:rsid w:val="00D633B8"/>
    <w:rsid w:val="00D635BF"/>
    <w:rsid w:val="00D64040"/>
    <w:rsid w:val="00D65A4F"/>
    <w:rsid w:val="00D70C41"/>
    <w:rsid w:val="00D7257C"/>
    <w:rsid w:val="00D73DDC"/>
    <w:rsid w:val="00D75EC9"/>
    <w:rsid w:val="00D7726F"/>
    <w:rsid w:val="00D81CCE"/>
    <w:rsid w:val="00D84F78"/>
    <w:rsid w:val="00D857AA"/>
    <w:rsid w:val="00D8611F"/>
    <w:rsid w:val="00D86B90"/>
    <w:rsid w:val="00D86FC0"/>
    <w:rsid w:val="00D87C37"/>
    <w:rsid w:val="00D87CEB"/>
    <w:rsid w:val="00D87E4A"/>
    <w:rsid w:val="00D90AF8"/>
    <w:rsid w:val="00D927C9"/>
    <w:rsid w:val="00DA064E"/>
    <w:rsid w:val="00DA12C0"/>
    <w:rsid w:val="00DA1C6A"/>
    <w:rsid w:val="00DA3BB4"/>
    <w:rsid w:val="00DA7A90"/>
    <w:rsid w:val="00DA7AE8"/>
    <w:rsid w:val="00DB37E1"/>
    <w:rsid w:val="00DC06E6"/>
    <w:rsid w:val="00DC1038"/>
    <w:rsid w:val="00DC1181"/>
    <w:rsid w:val="00DC157C"/>
    <w:rsid w:val="00DC43A4"/>
    <w:rsid w:val="00DC76F1"/>
    <w:rsid w:val="00DC7ADC"/>
    <w:rsid w:val="00DD15C9"/>
    <w:rsid w:val="00DD1617"/>
    <w:rsid w:val="00DD3D9E"/>
    <w:rsid w:val="00DD401A"/>
    <w:rsid w:val="00DD4BF6"/>
    <w:rsid w:val="00DD4ED4"/>
    <w:rsid w:val="00DD5C2A"/>
    <w:rsid w:val="00DD6256"/>
    <w:rsid w:val="00DE20B6"/>
    <w:rsid w:val="00DE2666"/>
    <w:rsid w:val="00DE479A"/>
    <w:rsid w:val="00DE5421"/>
    <w:rsid w:val="00DE5694"/>
    <w:rsid w:val="00DE5A30"/>
    <w:rsid w:val="00DE758C"/>
    <w:rsid w:val="00DF0CEB"/>
    <w:rsid w:val="00DF1B38"/>
    <w:rsid w:val="00DF1CB1"/>
    <w:rsid w:val="00DF3CD5"/>
    <w:rsid w:val="00E0055A"/>
    <w:rsid w:val="00E0090C"/>
    <w:rsid w:val="00E020FF"/>
    <w:rsid w:val="00E0292D"/>
    <w:rsid w:val="00E03121"/>
    <w:rsid w:val="00E040E3"/>
    <w:rsid w:val="00E05B6E"/>
    <w:rsid w:val="00E05CB2"/>
    <w:rsid w:val="00E0711B"/>
    <w:rsid w:val="00E11716"/>
    <w:rsid w:val="00E12F71"/>
    <w:rsid w:val="00E1379D"/>
    <w:rsid w:val="00E13858"/>
    <w:rsid w:val="00E14208"/>
    <w:rsid w:val="00E150E9"/>
    <w:rsid w:val="00E15310"/>
    <w:rsid w:val="00E22C74"/>
    <w:rsid w:val="00E24B95"/>
    <w:rsid w:val="00E257BF"/>
    <w:rsid w:val="00E25ED1"/>
    <w:rsid w:val="00E2661A"/>
    <w:rsid w:val="00E2721B"/>
    <w:rsid w:val="00E2795F"/>
    <w:rsid w:val="00E3093A"/>
    <w:rsid w:val="00E34496"/>
    <w:rsid w:val="00E367F7"/>
    <w:rsid w:val="00E41402"/>
    <w:rsid w:val="00E45ACC"/>
    <w:rsid w:val="00E46396"/>
    <w:rsid w:val="00E503E6"/>
    <w:rsid w:val="00E545B2"/>
    <w:rsid w:val="00E55148"/>
    <w:rsid w:val="00E55350"/>
    <w:rsid w:val="00E55384"/>
    <w:rsid w:val="00E55D17"/>
    <w:rsid w:val="00E575FF"/>
    <w:rsid w:val="00E5791A"/>
    <w:rsid w:val="00E57A72"/>
    <w:rsid w:val="00E57E4E"/>
    <w:rsid w:val="00E60D13"/>
    <w:rsid w:val="00E616E7"/>
    <w:rsid w:val="00E61F43"/>
    <w:rsid w:val="00E6244E"/>
    <w:rsid w:val="00E6291F"/>
    <w:rsid w:val="00E63778"/>
    <w:rsid w:val="00E63D58"/>
    <w:rsid w:val="00E655A0"/>
    <w:rsid w:val="00E65A92"/>
    <w:rsid w:val="00E72C46"/>
    <w:rsid w:val="00E74C99"/>
    <w:rsid w:val="00E763DE"/>
    <w:rsid w:val="00E80ED0"/>
    <w:rsid w:val="00E82A52"/>
    <w:rsid w:val="00E83EAC"/>
    <w:rsid w:val="00E84EA8"/>
    <w:rsid w:val="00E85D66"/>
    <w:rsid w:val="00E86544"/>
    <w:rsid w:val="00E90BE0"/>
    <w:rsid w:val="00E90C35"/>
    <w:rsid w:val="00E92F5C"/>
    <w:rsid w:val="00E92F9F"/>
    <w:rsid w:val="00E94E59"/>
    <w:rsid w:val="00E953E1"/>
    <w:rsid w:val="00EA182C"/>
    <w:rsid w:val="00EA20FE"/>
    <w:rsid w:val="00EA2194"/>
    <w:rsid w:val="00EA2B53"/>
    <w:rsid w:val="00EA4614"/>
    <w:rsid w:val="00EA4BC5"/>
    <w:rsid w:val="00EB0149"/>
    <w:rsid w:val="00EB057C"/>
    <w:rsid w:val="00EB05C3"/>
    <w:rsid w:val="00EB3281"/>
    <w:rsid w:val="00EB4514"/>
    <w:rsid w:val="00EB48D5"/>
    <w:rsid w:val="00EB4EFB"/>
    <w:rsid w:val="00EB4F0A"/>
    <w:rsid w:val="00EB505E"/>
    <w:rsid w:val="00EB712F"/>
    <w:rsid w:val="00EB760D"/>
    <w:rsid w:val="00EC0220"/>
    <w:rsid w:val="00EC6DAE"/>
    <w:rsid w:val="00EC714E"/>
    <w:rsid w:val="00ED0FCD"/>
    <w:rsid w:val="00ED245E"/>
    <w:rsid w:val="00ED42A9"/>
    <w:rsid w:val="00ED4AF7"/>
    <w:rsid w:val="00ED5993"/>
    <w:rsid w:val="00ED5BF7"/>
    <w:rsid w:val="00EE0F7E"/>
    <w:rsid w:val="00EE1127"/>
    <w:rsid w:val="00EE31F6"/>
    <w:rsid w:val="00EE3B08"/>
    <w:rsid w:val="00EE4D4B"/>
    <w:rsid w:val="00EE6588"/>
    <w:rsid w:val="00EF02E6"/>
    <w:rsid w:val="00EF0E3A"/>
    <w:rsid w:val="00EF1C46"/>
    <w:rsid w:val="00EF1C60"/>
    <w:rsid w:val="00EF1F1A"/>
    <w:rsid w:val="00EF3728"/>
    <w:rsid w:val="00EF3D2A"/>
    <w:rsid w:val="00EF564C"/>
    <w:rsid w:val="00EF6FD6"/>
    <w:rsid w:val="00F000D2"/>
    <w:rsid w:val="00F00763"/>
    <w:rsid w:val="00F01FCA"/>
    <w:rsid w:val="00F02ACE"/>
    <w:rsid w:val="00F044E2"/>
    <w:rsid w:val="00F05558"/>
    <w:rsid w:val="00F07786"/>
    <w:rsid w:val="00F1198D"/>
    <w:rsid w:val="00F125FB"/>
    <w:rsid w:val="00F126CE"/>
    <w:rsid w:val="00F126E2"/>
    <w:rsid w:val="00F136BB"/>
    <w:rsid w:val="00F1578F"/>
    <w:rsid w:val="00F16293"/>
    <w:rsid w:val="00F1698F"/>
    <w:rsid w:val="00F173E0"/>
    <w:rsid w:val="00F1791D"/>
    <w:rsid w:val="00F17F7F"/>
    <w:rsid w:val="00F2224B"/>
    <w:rsid w:val="00F24B8C"/>
    <w:rsid w:val="00F27070"/>
    <w:rsid w:val="00F27207"/>
    <w:rsid w:val="00F30774"/>
    <w:rsid w:val="00F30B15"/>
    <w:rsid w:val="00F30CED"/>
    <w:rsid w:val="00F329D8"/>
    <w:rsid w:val="00F335C3"/>
    <w:rsid w:val="00F33621"/>
    <w:rsid w:val="00F357E2"/>
    <w:rsid w:val="00F359B1"/>
    <w:rsid w:val="00F35E37"/>
    <w:rsid w:val="00F37947"/>
    <w:rsid w:val="00F4162A"/>
    <w:rsid w:val="00F43DAD"/>
    <w:rsid w:val="00F45C2F"/>
    <w:rsid w:val="00F45F03"/>
    <w:rsid w:val="00F477A2"/>
    <w:rsid w:val="00F47802"/>
    <w:rsid w:val="00F507B8"/>
    <w:rsid w:val="00F548EA"/>
    <w:rsid w:val="00F550CF"/>
    <w:rsid w:val="00F559D8"/>
    <w:rsid w:val="00F60BC0"/>
    <w:rsid w:val="00F61110"/>
    <w:rsid w:val="00F613E2"/>
    <w:rsid w:val="00F61A91"/>
    <w:rsid w:val="00F63711"/>
    <w:rsid w:val="00F644AB"/>
    <w:rsid w:val="00F648F4"/>
    <w:rsid w:val="00F64910"/>
    <w:rsid w:val="00F665C7"/>
    <w:rsid w:val="00F729D9"/>
    <w:rsid w:val="00F76529"/>
    <w:rsid w:val="00F76D0C"/>
    <w:rsid w:val="00F76F7E"/>
    <w:rsid w:val="00F77243"/>
    <w:rsid w:val="00F77DEF"/>
    <w:rsid w:val="00F8009E"/>
    <w:rsid w:val="00F8043F"/>
    <w:rsid w:val="00F817E6"/>
    <w:rsid w:val="00F83937"/>
    <w:rsid w:val="00F840F4"/>
    <w:rsid w:val="00F848DF"/>
    <w:rsid w:val="00F86577"/>
    <w:rsid w:val="00F92063"/>
    <w:rsid w:val="00F94D3B"/>
    <w:rsid w:val="00F951F7"/>
    <w:rsid w:val="00F97B5F"/>
    <w:rsid w:val="00FA062E"/>
    <w:rsid w:val="00FA09DC"/>
    <w:rsid w:val="00FA0A23"/>
    <w:rsid w:val="00FA1119"/>
    <w:rsid w:val="00FA211A"/>
    <w:rsid w:val="00FA4E01"/>
    <w:rsid w:val="00FA62E0"/>
    <w:rsid w:val="00FA678B"/>
    <w:rsid w:val="00FA74D1"/>
    <w:rsid w:val="00FA7AB4"/>
    <w:rsid w:val="00FA7E4B"/>
    <w:rsid w:val="00FB116E"/>
    <w:rsid w:val="00FB128A"/>
    <w:rsid w:val="00FB247A"/>
    <w:rsid w:val="00FB2859"/>
    <w:rsid w:val="00FB36F3"/>
    <w:rsid w:val="00FB5511"/>
    <w:rsid w:val="00FB5811"/>
    <w:rsid w:val="00FB5904"/>
    <w:rsid w:val="00FB746E"/>
    <w:rsid w:val="00FB76BD"/>
    <w:rsid w:val="00FC4692"/>
    <w:rsid w:val="00FC6B58"/>
    <w:rsid w:val="00FD15AD"/>
    <w:rsid w:val="00FD1EE1"/>
    <w:rsid w:val="00FD34EF"/>
    <w:rsid w:val="00FD4B9D"/>
    <w:rsid w:val="00FD4CA1"/>
    <w:rsid w:val="00FD4F83"/>
    <w:rsid w:val="00FD558F"/>
    <w:rsid w:val="00FD6302"/>
    <w:rsid w:val="00FE13A2"/>
    <w:rsid w:val="00FE2228"/>
    <w:rsid w:val="00FE25E0"/>
    <w:rsid w:val="00FE3556"/>
    <w:rsid w:val="00FE5297"/>
    <w:rsid w:val="00FE7111"/>
    <w:rsid w:val="00FF3338"/>
    <w:rsid w:val="00FF34D8"/>
    <w:rsid w:val="00FF3BA1"/>
    <w:rsid w:val="24D965E6"/>
    <w:rsid w:val="42A9AB7A"/>
    <w:rsid w:val="5D20A1E3"/>
    <w:rsid w:val="7EB0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7AB8FFE"/>
  <w15:docId w15:val="{56FCD193-D2B0-4C99-8915-1961CA4D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BD"/>
    <w:rPr>
      <w:rFonts w:ascii="Times New Roman" w:eastAsia="Times New Roman" w:hAnsi="Times New Roman"/>
      <w:snapToGrid w:val="0"/>
      <w:sz w:val="24"/>
      <w:szCs w:val="24"/>
    </w:rPr>
  </w:style>
  <w:style w:type="paragraph" w:styleId="Heading1">
    <w:name w:val="heading 1"/>
    <w:basedOn w:val="Normal"/>
    <w:next w:val="Normal"/>
    <w:link w:val="Heading1Char"/>
    <w:qFormat/>
    <w:rsid w:val="00B1472B"/>
    <w:pPr>
      <w:keepNext/>
      <w:jc w:val="center"/>
      <w:outlineLvl w:val="0"/>
    </w:pPr>
    <w:rPr>
      <w:b/>
      <w:snapToGrid/>
      <w:sz w:val="28"/>
      <w:szCs w:val="20"/>
    </w:rPr>
  </w:style>
  <w:style w:type="paragraph" w:styleId="Heading2">
    <w:name w:val="heading 2"/>
    <w:basedOn w:val="Normal"/>
    <w:next w:val="Normal"/>
    <w:link w:val="Heading2Char"/>
    <w:qFormat/>
    <w:rsid w:val="00B1472B"/>
    <w:pPr>
      <w:keepNext/>
      <w:jc w:val="center"/>
      <w:outlineLvl w:val="1"/>
    </w:pPr>
    <w:rPr>
      <w:b/>
      <w:snapToGrid/>
      <w:szCs w:val="20"/>
    </w:rPr>
  </w:style>
  <w:style w:type="paragraph" w:styleId="Heading3">
    <w:name w:val="heading 3"/>
    <w:basedOn w:val="Normal"/>
    <w:next w:val="Normal"/>
    <w:link w:val="Heading3Char"/>
    <w:qFormat/>
    <w:rsid w:val="00B1472B"/>
    <w:pPr>
      <w:keepNext/>
      <w:outlineLvl w:val="2"/>
    </w:pPr>
    <w:rPr>
      <w:snapToGrid/>
      <w:szCs w:val="20"/>
    </w:rPr>
  </w:style>
  <w:style w:type="paragraph" w:styleId="Heading4">
    <w:name w:val="heading 4"/>
    <w:basedOn w:val="Normal"/>
    <w:next w:val="Normal"/>
    <w:link w:val="Heading4Char"/>
    <w:uiPriority w:val="9"/>
    <w:qFormat/>
    <w:rsid w:val="00B1472B"/>
    <w:pPr>
      <w:keepNext/>
      <w:ind w:left="720"/>
      <w:outlineLvl w:val="3"/>
    </w:pPr>
    <w:rPr>
      <w:snapToGrid/>
      <w:szCs w:val="20"/>
    </w:rPr>
  </w:style>
  <w:style w:type="paragraph" w:styleId="Heading5">
    <w:name w:val="heading 5"/>
    <w:basedOn w:val="Normal"/>
    <w:next w:val="Normal"/>
    <w:link w:val="Heading5Char"/>
    <w:qFormat/>
    <w:rsid w:val="00B1472B"/>
    <w:pPr>
      <w:keepNext/>
      <w:ind w:left="720" w:hanging="720"/>
      <w:outlineLvl w:val="4"/>
    </w:pPr>
    <w:rPr>
      <w:b/>
      <w:snapToGrid/>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385"/>
    <w:rPr>
      <w:color w:val="0000FF"/>
      <w:u w:val="single"/>
    </w:rPr>
  </w:style>
  <w:style w:type="paragraph" w:styleId="Header">
    <w:name w:val="header"/>
    <w:basedOn w:val="Normal"/>
    <w:link w:val="HeaderChar"/>
    <w:uiPriority w:val="99"/>
    <w:unhideWhenUsed/>
    <w:rsid w:val="00B72385"/>
    <w:pPr>
      <w:tabs>
        <w:tab w:val="center" w:pos="4680"/>
        <w:tab w:val="right" w:pos="9360"/>
      </w:tabs>
    </w:pPr>
  </w:style>
  <w:style w:type="character" w:customStyle="1" w:styleId="HeaderChar">
    <w:name w:val="Header Char"/>
    <w:link w:val="Header"/>
    <w:uiPriority w:val="99"/>
    <w:rsid w:val="00B72385"/>
    <w:rPr>
      <w:rFonts w:ascii="Times New Roman" w:eastAsia="Times New Roman" w:hAnsi="Times New Roman" w:cs="Times New Roman"/>
      <w:snapToGrid w:val="0"/>
      <w:sz w:val="24"/>
      <w:szCs w:val="24"/>
    </w:rPr>
  </w:style>
  <w:style w:type="paragraph" w:styleId="Footer">
    <w:name w:val="footer"/>
    <w:basedOn w:val="Normal"/>
    <w:link w:val="FooterChar"/>
    <w:uiPriority w:val="99"/>
    <w:unhideWhenUsed/>
    <w:rsid w:val="00B72385"/>
    <w:pPr>
      <w:tabs>
        <w:tab w:val="center" w:pos="4680"/>
        <w:tab w:val="right" w:pos="9360"/>
      </w:tabs>
    </w:pPr>
  </w:style>
  <w:style w:type="character" w:customStyle="1" w:styleId="FooterChar">
    <w:name w:val="Footer Char"/>
    <w:link w:val="Footer"/>
    <w:uiPriority w:val="99"/>
    <w:rsid w:val="00B72385"/>
    <w:rPr>
      <w:rFonts w:ascii="Times New Roman" w:eastAsia="Times New Roman" w:hAnsi="Times New Roman" w:cs="Times New Roman"/>
      <w:snapToGrid w:val="0"/>
      <w:sz w:val="24"/>
      <w:szCs w:val="24"/>
    </w:rPr>
  </w:style>
  <w:style w:type="character" w:styleId="PageNumber">
    <w:name w:val="page number"/>
    <w:basedOn w:val="DefaultParagraphFont"/>
    <w:rsid w:val="00B72385"/>
  </w:style>
  <w:style w:type="paragraph" w:styleId="ListParagraph">
    <w:name w:val="List Paragraph"/>
    <w:basedOn w:val="Normal"/>
    <w:uiPriority w:val="34"/>
    <w:qFormat/>
    <w:rsid w:val="004E3897"/>
    <w:pPr>
      <w:ind w:left="720"/>
      <w:contextualSpacing/>
    </w:pPr>
  </w:style>
  <w:style w:type="paragraph" w:styleId="BalloonText">
    <w:name w:val="Balloon Text"/>
    <w:basedOn w:val="Normal"/>
    <w:link w:val="BalloonTextChar"/>
    <w:uiPriority w:val="99"/>
    <w:semiHidden/>
    <w:unhideWhenUsed/>
    <w:rsid w:val="002B7DA7"/>
    <w:rPr>
      <w:rFonts w:ascii="Tahoma" w:hAnsi="Tahoma" w:cs="Tahoma"/>
      <w:sz w:val="16"/>
      <w:szCs w:val="16"/>
    </w:rPr>
  </w:style>
  <w:style w:type="character" w:customStyle="1" w:styleId="BalloonTextChar">
    <w:name w:val="Balloon Text Char"/>
    <w:link w:val="BalloonText"/>
    <w:uiPriority w:val="99"/>
    <w:semiHidden/>
    <w:rsid w:val="002B7DA7"/>
    <w:rPr>
      <w:rFonts w:ascii="Tahoma" w:eastAsia="Times New Roman" w:hAnsi="Tahoma" w:cs="Tahoma"/>
      <w:snapToGrid w:val="0"/>
      <w:sz w:val="16"/>
      <w:szCs w:val="16"/>
    </w:rPr>
  </w:style>
  <w:style w:type="table" w:styleId="TableGrid">
    <w:name w:val="Table Grid"/>
    <w:basedOn w:val="TableNormal"/>
    <w:rsid w:val="005800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1472B"/>
    <w:rPr>
      <w:rFonts w:ascii="Times New Roman" w:eastAsia="Times New Roman" w:hAnsi="Times New Roman" w:cs="Times New Roman"/>
      <w:b/>
      <w:sz w:val="28"/>
      <w:szCs w:val="20"/>
    </w:rPr>
  </w:style>
  <w:style w:type="character" w:customStyle="1" w:styleId="Heading2Char">
    <w:name w:val="Heading 2 Char"/>
    <w:link w:val="Heading2"/>
    <w:rsid w:val="00B1472B"/>
    <w:rPr>
      <w:rFonts w:ascii="Times New Roman" w:eastAsia="Times New Roman" w:hAnsi="Times New Roman" w:cs="Times New Roman"/>
      <w:b/>
      <w:sz w:val="24"/>
      <w:szCs w:val="20"/>
    </w:rPr>
  </w:style>
  <w:style w:type="character" w:customStyle="1" w:styleId="Heading3Char">
    <w:name w:val="Heading 3 Char"/>
    <w:link w:val="Heading3"/>
    <w:rsid w:val="00B1472B"/>
    <w:rPr>
      <w:rFonts w:ascii="Times New Roman" w:eastAsia="Times New Roman" w:hAnsi="Times New Roman" w:cs="Times New Roman"/>
      <w:sz w:val="24"/>
      <w:szCs w:val="20"/>
    </w:rPr>
  </w:style>
  <w:style w:type="character" w:customStyle="1" w:styleId="Heading4Char">
    <w:name w:val="Heading 4 Char"/>
    <w:link w:val="Heading4"/>
    <w:rsid w:val="00B1472B"/>
    <w:rPr>
      <w:rFonts w:ascii="Times New Roman" w:eastAsia="Times New Roman" w:hAnsi="Times New Roman" w:cs="Times New Roman"/>
      <w:sz w:val="24"/>
      <w:szCs w:val="20"/>
    </w:rPr>
  </w:style>
  <w:style w:type="character" w:customStyle="1" w:styleId="Heading5Char">
    <w:name w:val="Heading 5 Char"/>
    <w:link w:val="Heading5"/>
    <w:rsid w:val="00B1472B"/>
    <w:rPr>
      <w:rFonts w:ascii="Times New Roman" w:eastAsia="Times New Roman" w:hAnsi="Times New Roman" w:cs="Times New Roman"/>
      <w:b/>
      <w:sz w:val="24"/>
      <w:szCs w:val="20"/>
    </w:rPr>
  </w:style>
  <w:style w:type="paragraph" w:styleId="BodyText">
    <w:name w:val="Body Text"/>
    <w:basedOn w:val="Normal"/>
    <w:link w:val="BodyTextChar"/>
    <w:rsid w:val="00B1472B"/>
    <w:pPr>
      <w:shd w:val="clear" w:color="auto" w:fill="FFFFFF"/>
      <w:autoSpaceDE w:val="0"/>
      <w:autoSpaceDN w:val="0"/>
      <w:adjustRightInd w:val="0"/>
      <w:ind w:right="-1800"/>
    </w:pPr>
    <w:rPr>
      <w:snapToGrid/>
      <w:color w:val="000000"/>
      <w:sz w:val="23"/>
      <w:szCs w:val="23"/>
    </w:rPr>
  </w:style>
  <w:style w:type="character" w:customStyle="1" w:styleId="BodyTextChar">
    <w:name w:val="Body Text Char"/>
    <w:link w:val="BodyText"/>
    <w:rsid w:val="00B1472B"/>
    <w:rPr>
      <w:rFonts w:ascii="Times New Roman" w:eastAsia="Times New Roman" w:hAnsi="Times New Roman" w:cs="Times New Roman"/>
      <w:color w:val="000000"/>
      <w:sz w:val="23"/>
      <w:szCs w:val="23"/>
      <w:shd w:val="clear" w:color="auto" w:fill="FFFFFF"/>
    </w:rPr>
  </w:style>
  <w:style w:type="paragraph" w:styleId="BodyTextIndent">
    <w:name w:val="Body Text Indent"/>
    <w:basedOn w:val="Normal"/>
    <w:link w:val="BodyTextIndentChar"/>
    <w:rsid w:val="00B1472B"/>
    <w:pPr>
      <w:spacing w:after="120"/>
      <w:ind w:left="360"/>
    </w:pPr>
  </w:style>
  <w:style w:type="character" w:customStyle="1" w:styleId="BodyTextIndentChar">
    <w:name w:val="Body Text Indent Char"/>
    <w:link w:val="BodyTextIndent"/>
    <w:rsid w:val="00B1472B"/>
    <w:rPr>
      <w:rFonts w:ascii="Times New Roman" w:eastAsia="Times New Roman" w:hAnsi="Times New Roman" w:cs="Times New Roman"/>
      <w:snapToGrid w:val="0"/>
      <w:sz w:val="24"/>
      <w:szCs w:val="24"/>
    </w:rPr>
  </w:style>
  <w:style w:type="paragraph" w:styleId="BodyTextIndent2">
    <w:name w:val="Body Text Indent 2"/>
    <w:basedOn w:val="Normal"/>
    <w:link w:val="BodyTextIndent2Char"/>
    <w:rsid w:val="00B1472B"/>
    <w:pPr>
      <w:spacing w:after="120" w:line="480" w:lineRule="auto"/>
      <w:ind w:left="360"/>
    </w:pPr>
  </w:style>
  <w:style w:type="character" w:customStyle="1" w:styleId="BodyTextIndent2Char">
    <w:name w:val="Body Text Indent 2 Char"/>
    <w:link w:val="BodyTextIndent2"/>
    <w:rsid w:val="00B1472B"/>
    <w:rPr>
      <w:rFonts w:ascii="Times New Roman" w:eastAsia="Times New Roman" w:hAnsi="Times New Roman" w:cs="Times New Roman"/>
      <w:snapToGrid w:val="0"/>
      <w:sz w:val="24"/>
      <w:szCs w:val="24"/>
    </w:rPr>
  </w:style>
  <w:style w:type="paragraph" w:styleId="CommentText">
    <w:name w:val="annotation text"/>
    <w:basedOn w:val="Normal"/>
    <w:link w:val="CommentTextChar"/>
    <w:rsid w:val="00B1472B"/>
    <w:rPr>
      <w:snapToGrid/>
      <w:sz w:val="20"/>
      <w:szCs w:val="20"/>
    </w:rPr>
  </w:style>
  <w:style w:type="character" w:customStyle="1" w:styleId="CommentTextChar">
    <w:name w:val="Comment Text Char"/>
    <w:link w:val="CommentText"/>
    <w:rsid w:val="00B1472B"/>
    <w:rPr>
      <w:rFonts w:ascii="Times New Roman" w:eastAsia="Times New Roman" w:hAnsi="Times New Roman" w:cs="Times New Roman"/>
      <w:sz w:val="20"/>
      <w:szCs w:val="20"/>
    </w:rPr>
  </w:style>
  <w:style w:type="paragraph" w:styleId="Title">
    <w:name w:val="Title"/>
    <w:basedOn w:val="Normal"/>
    <w:link w:val="TitleChar"/>
    <w:qFormat/>
    <w:rsid w:val="00764862"/>
    <w:pPr>
      <w:jc w:val="center"/>
    </w:pPr>
    <w:rPr>
      <w:b/>
      <w:snapToGrid/>
      <w:szCs w:val="20"/>
    </w:rPr>
  </w:style>
  <w:style w:type="character" w:customStyle="1" w:styleId="TitleChar">
    <w:name w:val="Title Char"/>
    <w:basedOn w:val="DefaultParagraphFont"/>
    <w:link w:val="Title"/>
    <w:rsid w:val="00764862"/>
    <w:rPr>
      <w:rFonts w:ascii="Times New Roman" w:eastAsia="Times New Roman" w:hAnsi="Times New Roman"/>
      <w:b/>
      <w:sz w:val="24"/>
    </w:rPr>
  </w:style>
  <w:style w:type="character" w:styleId="CommentReference">
    <w:name w:val="annotation reference"/>
    <w:basedOn w:val="DefaultParagraphFont"/>
    <w:unhideWhenUsed/>
    <w:rsid w:val="00876CBE"/>
    <w:rPr>
      <w:sz w:val="16"/>
      <w:szCs w:val="16"/>
    </w:rPr>
  </w:style>
  <w:style w:type="paragraph" w:styleId="CommentSubject">
    <w:name w:val="annotation subject"/>
    <w:basedOn w:val="CommentText"/>
    <w:next w:val="CommentText"/>
    <w:link w:val="CommentSubjectChar"/>
    <w:uiPriority w:val="99"/>
    <w:semiHidden/>
    <w:unhideWhenUsed/>
    <w:rsid w:val="00876CBE"/>
    <w:rPr>
      <w:b/>
      <w:bCs/>
      <w:snapToGrid w:val="0"/>
    </w:rPr>
  </w:style>
  <w:style w:type="character" w:customStyle="1" w:styleId="CommentSubjectChar">
    <w:name w:val="Comment Subject Char"/>
    <w:basedOn w:val="CommentTextChar"/>
    <w:link w:val="CommentSubject"/>
    <w:uiPriority w:val="99"/>
    <w:semiHidden/>
    <w:rsid w:val="00876CBE"/>
    <w:rPr>
      <w:rFonts w:ascii="Times New Roman" w:eastAsia="Times New Roman" w:hAnsi="Times New Roman" w:cs="Times New Roman"/>
      <w:b/>
      <w:bCs/>
      <w:snapToGrid w:val="0"/>
      <w:sz w:val="20"/>
      <w:szCs w:val="20"/>
    </w:rPr>
  </w:style>
  <w:style w:type="character" w:styleId="FollowedHyperlink">
    <w:name w:val="FollowedHyperlink"/>
    <w:basedOn w:val="DefaultParagraphFont"/>
    <w:uiPriority w:val="99"/>
    <w:semiHidden/>
    <w:unhideWhenUsed/>
    <w:rsid w:val="001F544E"/>
    <w:rPr>
      <w:color w:val="800080" w:themeColor="followedHyperlink"/>
      <w:u w:val="single"/>
    </w:rPr>
  </w:style>
  <w:style w:type="paragraph" w:customStyle="1" w:styleId="TxBrt2">
    <w:name w:val="TxBr_t2"/>
    <w:basedOn w:val="Normal"/>
    <w:rsid w:val="000F1A3A"/>
    <w:pPr>
      <w:widowControl w:val="0"/>
      <w:spacing w:line="240" w:lineRule="atLeast"/>
    </w:pPr>
    <w:rPr>
      <w:szCs w:val="20"/>
    </w:rPr>
  </w:style>
  <w:style w:type="paragraph" w:customStyle="1" w:styleId="TxBrc3">
    <w:name w:val="TxBr_c3"/>
    <w:basedOn w:val="Normal"/>
    <w:rsid w:val="000F1A3A"/>
    <w:pPr>
      <w:widowControl w:val="0"/>
      <w:spacing w:line="240" w:lineRule="atLeast"/>
      <w:jc w:val="center"/>
    </w:pPr>
    <w:rPr>
      <w:szCs w:val="20"/>
    </w:rPr>
  </w:style>
  <w:style w:type="paragraph" w:customStyle="1" w:styleId="TxBrp4">
    <w:name w:val="TxBr_p4"/>
    <w:basedOn w:val="Normal"/>
    <w:rsid w:val="000F1A3A"/>
    <w:pPr>
      <w:widowControl w:val="0"/>
      <w:tabs>
        <w:tab w:val="left" w:pos="680"/>
        <w:tab w:val="left" w:pos="1462"/>
      </w:tabs>
      <w:spacing w:line="277" w:lineRule="atLeast"/>
      <w:ind w:firstLine="680"/>
    </w:pPr>
    <w:rPr>
      <w:szCs w:val="20"/>
    </w:rPr>
  </w:style>
  <w:style w:type="paragraph" w:customStyle="1" w:styleId="TxBrp5">
    <w:name w:val="TxBr_p5"/>
    <w:basedOn w:val="Normal"/>
    <w:rsid w:val="000F1A3A"/>
    <w:pPr>
      <w:widowControl w:val="0"/>
      <w:tabs>
        <w:tab w:val="left" w:pos="680"/>
      </w:tabs>
      <w:spacing w:line="277" w:lineRule="atLeast"/>
      <w:ind w:firstLine="680"/>
    </w:pPr>
    <w:rPr>
      <w:szCs w:val="20"/>
    </w:rPr>
  </w:style>
  <w:style w:type="paragraph" w:customStyle="1" w:styleId="TxBrp8">
    <w:name w:val="TxBr_p8"/>
    <w:basedOn w:val="Normal"/>
    <w:rsid w:val="000F1A3A"/>
    <w:pPr>
      <w:widowControl w:val="0"/>
      <w:tabs>
        <w:tab w:val="left" w:pos="1462"/>
        <w:tab w:val="left" w:pos="2114"/>
      </w:tabs>
      <w:spacing w:line="277" w:lineRule="atLeast"/>
      <w:ind w:left="2115" w:hanging="652"/>
    </w:pPr>
    <w:rPr>
      <w:szCs w:val="20"/>
    </w:rPr>
  </w:style>
  <w:style w:type="paragraph" w:customStyle="1" w:styleId="TxBrp9">
    <w:name w:val="TxBr_p9"/>
    <w:basedOn w:val="Normal"/>
    <w:rsid w:val="000F1A3A"/>
    <w:pPr>
      <w:widowControl w:val="0"/>
      <w:tabs>
        <w:tab w:val="left" w:pos="2114"/>
        <w:tab w:val="left" w:pos="2579"/>
      </w:tabs>
      <w:spacing w:line="277" w:lineRule="atLeast"/>
      <w:ind w:left="2580" w:hanging="465"/>
    </w:pPr>
    <w:rPr>
      <w:szCs w:val="20"/>
    </w:rPr>
  </w:style>
  <w:style w:type="paragraph" w:customStyle="1" w:styleId="TxBrp11">
    <w:name w:val="TxBr_p11"/>
    <w:basedOn w:val="Normal"/>
    <w:rsid w:val="000F1A3A"/>
    <w:pPr>
      <w:widowControl w:val="0"/>
      <w:tabs>
        <w:tab w:val="left" w:pos="1462"/>
        <w:tab w:val="left" w:pos="1859"/>
      </w:tabs>
      <w:spacing w:line="277" w:lineRule="atLeast"/>
      <w:ind w:left="1860" w:hanging="397"/>
    </w:pPr>
    <w:rPr>
      <w:szCs w:val="20"/>
    </w:rPr>
  </w:style>
  <w:style w:type="paragraph" w:customStyle="1" w:styleId="TxBrp12">
    <w:name w:val="TxBr_p12"/>
    <w:basedOn w:val="Normal"/>
    <w:rsid w:val="000F1A3A"/>
    <w:pPr>
      <w:widowControl w:val="0"/>
      <w:tabs>
        <w:tab w:val="left" w:pos="2114"/>
        <w:tab w:val="left" w:pos="2862"/>
      </w:tabs>
      <w:spacing w:line="277" w:lineRule="atLeast"/>
      <w:ind w:left="2863" w:hanging="748"/>
    </w:pPr>
    <w:rPr>
      <w:szCs w:val="20"/>
    </w:rPr>
  </w:style>
  <w:style w:type="paragraph" w:customStyle="1" w:styleId="TxBrp16">
    <w:name w:val="TxBr_p16"/>
    <w:basedOn w:val="Normal"/>
    <w:rsid w:val="000F1A3A"/>
    <w:pPr>
      <w:widowControl w:val="0"/>
      <w:tabs>
        <w:tab w:val="left" w:pos="861"/>
      </w:tabs>
      <w:spacing w:line="277" w:lineRule="atLeast"/>
      <w:ind w:firstLine="862"/>
    </w:pPr>
    <w:rPr>
      <w:szCs w:val="20"/>
    </w:rPr>
  </w:style>
  <w:style w:type="paragraph" w:customStyle="1" w:styleId="TxBrp17">
    <w:name w:val="TxBr_p17"/>
    <w:basedOn w:val="Normal"/>
    <w:rsid w:val="000F1A3A"/>
    <w:pPr>
      <w:widowControl w:val="0"/>
      <w:tabs>
        <w:tab w:val="left" w:pos="680"/>
        <w:tab w:val="left" w:pos="1462"/>
      </w:tabs>
      <w:spacing w:line="277" w:lineRule="atLeast"/>
      <w:ind w:left="1463" w:hanging="783"/>
    </w:pPr>
    <w:rPr>
      <w:szCs w:val="20"/>
    </w:rPr>
  </w:style>
  <w:style w:type="paragraph" w:customStyle="1" w:styleId="TxBrp20">
    <w:name w:val="TxBr_p20"/>
    <w:basedOn w:val="Normal"/>
    <w:rsid w:val="000F1A3A"/>
    <w:pPr>
      <w:widowControl w:val="0"/>
      <w:tabs>
        <w:tab w:val="left" w:pos="680"/>
        <w:tab w:val="left" w:pos="1462"/>
        <w:tab w:val="left" w:pos="2114"/>
      </w:tabs>
      <w:spacing w:line="277" w:lineRule="atLeast"/>
      <w:ind w:left="680" w:firstLine="783"/>
    </w:pPr>
    <w:rPr>
      <w:szCs w:val="20"/>
    </w:rPr>
  </w:style>
  <w:style w:type="paragraph" w:customStyle="1" w:styleId="TxBrp21">
    <w:name w:val="TxBr_p21"/>
    <w:basedOn w:val="Normal"/>
    <w:rsid w:val="000F1A3A"/>
    <w:pPr>
      <w:widowControl w:val="0"/>
      <w:tabs>
        <w:tab w:val="left" w:pos="680"/>
        <w:tab w:val="left" w:pos="1462"/>
      </w:tabs>
      <w:spacing w:line="277" w:lineRule="atLeast"/>
      <w:ind w:left="680" w:firstLine="783"/>
    </w:pPr>
    <w:rPr>
      <w:szCs w:val="20"/>
    </w:rPr>
  </w:style>
  <w:style w:type="paragraph" w:customStyle="1" w:styleId="Body-Outline">
    <w:name w:val="Body-Outline"/>
    <w:basedOn w:val="Normal"/>
    <w:qFormat/>
    <w:rsid w:val="007A56CC"/>
    <w:pPr>
      <w:tabs>
        <w:tab w:val="left" w:pos="720"/>
      </w:tabs>
      <w:spacing w:after="80"/>
      <w:ind w:left="720" w:hanging="360"/>
    </w:pPr>
    <w:rPr>
      <w:snapToGrid/>
      <w:sz w:val="22"/>
    </w:rPr>
  </w:style>
  <w:style w:type="paragraph" w:styleId="Caption">
    <w:name w:val="caption"/>
    <w:basedOn w:val="Normal"/>
    <w:next w:val="Normal"/>
    <w:uiPriority w:val="35"/>
    <w:unhideWhenUsed/>
    <w:qFormat/>
    <w:rsid w:val="008D3764"/>
    <w:pPr>
      <w:spacing w:after="200"/>
    </w:pPr>
    <w:rPr>
      <w:i/>
      <w:iCs/>
      <w:color w:val="1F497D" w:themeColor="text2"/>
      <w:sz w:val="18"/>
      <w:szCs w:val="18"/>
    </w:rPr>
  </w:style>
  <w:style w:type="paragraph" w:customStyle="1" w:styleId="Default">
    <w:name w:val="Default"/>
    <w:rsid w:val="00CB0C1F"/>
    <w:pPr>
      <w:autoSpaceDE w:val="0"/>
      <w:autoSpaceDN w:val="0"/>
      <w:adjustRightInd w:val="0"/>
    </w:pPr>
    <w:rPr>
      <w:rFonts w:ascii="Book Antiqua" w:hAnsi="Book Antiqua" w:cs="Book Antiqua"/>
      <w:color w:val="000000"/>
      <w:sz w:val="24"/>
      <w:szCs w:val="24"/>
    </w:rPr>
  </w:style>
  <w:style w:type="paragraph" w:styleId="PlainText">
    <w:name w:val="Plain Text"/>
    <w:basedOn w:val="Normal"/>
    <w:link w:val="PlainTextChar"/>
    <w:rsid w:val="00EB0149"/>
    <w:rPr>
      <w:rFonts w:ascii="Courier New" w:hAnsi="Courier New"/>
      <w:snapToGrid/>
      <w:sz w:val="20"/>
      <w:szCs w:val="20"/>
    </w:rPr>
  </w:style>
  <w:style w:type="character" w:customStyle="1" w:styleId="PlainTextChar">
    <w:name w:val="Plain Text Char"/>
    <w:basedOn w:val="DefaultParagraphFont"/>
    <w:link w:val="PlainText"/>
    <w:rsid w:val="00EB0149"/>
    <w:rPr>
      <w:rFonts w:ascii="Courier New" w:eastAsia="Times New Roman" w:hAnsi="Courier New"/>
    </w:rPr>
  </w:style>
  <w:style w:type="paragraph" w:customStyle="1" w:styleId="TOC">
    <w:name w:val="TOC"/>
    <w:basedOn w:val="Normal"/>
    <w:link w:val="TOCChar"/>
    <w:qFormat/>
    <w:rsid w:val="00EF0E3A"/>
    <w:pPr>
      <w:tabs>
        <w:tab w:val="right" w:leader="dot" w:pos="8280"/>
      </w:tabs>
      <w:ind w:left="720"/>
    </w:pPr>
    <w:rPr>
      <w:rFonts w:asciiTheme="majorHAnsi" w:hAnsiTheme="majorHAnsi"/>
      <w:sz w:val="20"/>
      <w:szCs w:val="20"/>
    </w:rPr>
  </w:style>
  <w:style w:type="character" w:customStyle="1" w:styleId="TOCChar">
    <w:name w:val="TOC Char"/>
    <w:basedOn w:val="DefaultParagraphFont"/>
    <w:link w:val="TOC"/>
    <w:rsid w:val="00EF0E3A"/>
    <w:rPr>
      <w:rFonts w:asciiTheme="majorHAnsi" w:eastAsia="Times New Roman" w:hAnsiTheme="majorHAnsi"/>
      <w:snapToGrid w:val="0"/>
    </w:rPr>
  </w:style>
  <w:style w:type="character" w:styleId="UnresolvedMention">
    <w:name w:val="Unresolved Mention"/>
    <w:basedOn w:val="DefaultParagraphFont"/>
    <w:uiPriority w:val="99"/>
    <w:semiHidden/>
    <w:unhideWhenUsed/>
    <w:rsid w:val="005F5A5A"/>
    <w:rPr>
      <w:color w:val="605E5C"/>
      <w:shd w:val="clear" w:color="auto" w:fill="E1DFDD"/>
    </w:rPr>
  </w:style>
  <w:style w:type="paragraph" w:styleId="Revision">
    <w:name w:val="Revision"/>
    <w:hidden/>
    <w:uiPriority w:val="99"/>
    <w:semiHidden/>
    <w:rsid w:val="003705FE"/>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147952">
      <w:bodyDiv w:val="1"/>
      <w:marLeft w:val="0"/>
      <w:marRight w:val="0"/>
      <w:marTop w:val="0"/>
      <w:marBottom w:val="0"/>
      <w:divBdr>
        <w:top w:val="none" w:sz="0" w:space="0" w:color="auto"/>
        <w:left w:val="none" w:sz="0" w:space="0" w:color="auto"/>
        <w:bottom w:val="none" w:sz="0" w:space="0" w:color="auto"/>
        <w:right w:val="none" w:sz="0" w:space="0" w:color="auto"/>
      </w:divBdr>
    </w:div>
    <w:div w:id="657223941">
      <w:bodyDiv w:val="1"/>
      <w:marLeft w:val="0"/>
      <w:marRight w:val="0"/>
      <w:marTop w:val="0"/>
      <w:marBottom w:val="0"/>
      <w:divBdr>
        <w:top w:val="none" w:sz="0" w:space="0" w:color="auto"/>
        <w:left w:val="none" w:sz="0" w:space="0" w:color="auto"/>
        <w:bottom w:val="none" w:sz="0" w:space="0" w:color="auto"/>
        <w:right w:val="none" w:sz="0" w:space="0" w:color="auto"/>
      </w:divBdr>
    </w:div>
    <w:div w:id="676734997">
      <w:bodyDiv w:val="1"/>
      <w:marLeft w:val="0"/>
      <w:marRight w:val="0"/>
      <w:marTop w:val="0"/>
      <w:marBottom w:val="0"/>
      <w:divBdr>
        <w:top w:val="none" w:sz="0" w:space="0" w:color="auto"/>
        <w:left w:val="none" w:sz="0" w:space="0" w:color="auto"/>
        <w:bottom w:val="none" w:sz="0" w:space="0" w:color="auto"/>
        <w:right w:val="none" w:sz="0" w:space="0" w:color="auto"/>
      </w:divBdr>
    </w:div>
    <w:div w:id="677578735">
      <w:bodyDiv w:val="1"/>
      <w:marLeft w:val="0"/>
      <w:marRight w:val="0"/>
      <w:marTop w:val="0"/>
      <w:marBottom w:val="0"/>
      <w:divBdr>
        <w:top w:val="none" w:sz="0" w:space="0" w:color="auto"/>
        <w:left w:val="none" w:sz="0" w:space="0" w:color="auto"/>
        <w:bottom w:val="none" w:sz="0" w:space="0" w:color="auto"/>
        <w:right w:val="none" w:sz="0" w:space="0" w:color="auto"/>
      </w:divBdr>
      <w:divsChild>
        <w:div w:id="1394112211">
          <w:marLeft w:val="0"/>
          <w:marRight w:val="0"/>
          <w:marTop w:val="0"/>
          <w:marBottom w:val="0"/>
          <w:divBdr>
            <w:top w:val="none" w:sz="0" w:space="0" w:color="auto"/>
            <w:left w:val="none" w:sz="0" w:space="0" w:color="auto"/>
            <w:bottom w:val="none" w:sz="0" w:space="0" w:color="auto"/>
            <w:right w:val="none" w:sz="0" w:space="0" w:color="auto"/>
          </w:divBdr>
          <w:divsChild>
            <w:div w:id="277491894">
              <w:marLeft w:val="0"/>
              <w:marRight w:val="0"/>
              <w:marTop w:val="0"/>
              <w:marBottom w:val="0"/>
              <w:divBdr>
                <w:top w:val="none" w:sz="0" w:space="0" w:color="auto"/>
                <w:left w:val="none" w:sz="0" w:space="0" w:color="auto"/>
                <w:bottom w:val="none" w:sz="0" w:space="0" w:color="auto"/>
                <w:right w:val="none" w:sz="0" w:space="0" w:color="auto"/>
              </w:divBdr>
              <w:divsChild>
                <w:div w:id="1352293540">
                  <w:marLeft w:val="0"/>
                  <w:marRight w:val="285"/>
                  <w:marTop w:val="0"/>
                  <w:marBottom w:val="0"/>
                  <w:divBdr>
                    <w:top w:val="none" w:sz="0" w:space="0" w:color="auto"/>
                    <w:left w:val="none" w:sz="0" w:space="0" w:color="auto"/>
                    <w:bottom w:val="none" w:sz="0" w:space="0" w:color="auto"/>
                    <w:right w:val="none" w:sz="0" w:space="0" w:color="auto"/>
                  </w:divBdr>
                </w:div>
              </w:divsChild>
            </w:div>
          </w:divsChild>
        </w:div>
      </w:divsChild>
    </w:div>
    <w:div w:id="696272972">
      <w:bodyDiv w:val="1"/>
      <w:marLeft w:val="0"/>
      <w:marRight w:val="0"/>
      <w:marTop w:val="0"/>
      <w:marBottom w:val="0"/>
      <w:divBdr>
        <w:top w:val="none" w:sz="0" w:space="0" w:color="auto"/>
        <w:left w:val="none" w:sz="0" w:space="0" w:color="auto"/>
        <w:bottom w:val="none" w:sz="0" w:space="0" w:color="auto"/>
        <w:right w:val="none" w:sz="0" w:space="0" w:color="auto"/>
      </w:divBdr>
    </w:div>
    <w:div w:id="723407636">
      <w:bodyDiv w:val="1"/>
      <w:marLeft w:val="0"/>
      <w:marRight w:val="0"/>
      <w:marTop w:val="0"/>
      <w:marBottom w:val="0"/>
      <w:divBdr>
        <w:top w:val="none" w:sz="0" w:space="0" w:color="auto"/>
        <w:left w:val="none" w:sz="0" w:space="0" w:color="auto"/>
        <w:bottom w:val="none" w:sz="0" w:space="0" w:color="auto"/>
        <w:right w:val="none" w:sz="0" w:space="0" w:color="auto"/>
      </w:divBdr>
    </w:div>
    <w:div w:id="867571696">
      <w:bodyDiv w:val="1"/>
      <w:marLeft w:val="0"/>
      <w:marRight w:val="0"/>
      <w:marTop w:val="0"/>
      <w:marBottom w:val="0"/>
      <w:divBdr>
        <w:top w:val="none" w:sz="0" w:space="0" w:color="auto"/>
        <w:left w:val="none" w:sz="0" w:space="0" w:color="auto"/>
        <w:bottom w:val="none" w:sz="0" w:space="0" w:color="auto"/>
        <w:right w:val="none" w:sz="0" w:space="0" w:color="auto"/>
      </w:divBdr>
    </w:div>
    <w:div w:id="910581679">
      <w:bodyDiv w:val="1"/>
      <w:marLeft w:val="0"/>
      <w:marRight w:val="0"/>
      <w:marTop w:val="0"/>
      <w:marBottom w:val="0"/>
      <w:divBdr>
        <w:top w:val="none" w:sz="0" w:space="0" w:color="auto"/>
        <w:left w:val="none" w:sz="0" w:space="0" w:color="auto"/>
        <w:bottom w:val="none" w:sz="0" w:space="0" w:color="auto"/>
        <w:right w:val="none" w:sz="0" w:space="0" w:color="auto"/>
      </w:divBdr>
    </w:div>
    <w:div w:id="1204100573">
      <w:bodyDiv w:val="1"/>
      <w:marLeft w:val="0"/>
      <w:marRight w:val="0"/>
      <w:marTop w:val="0"/>
      <w:marBottom w:val="0"/>
      <w:divBdr>
        <w:top w:val="none" w:sz="0" w:space="0" w:color="auto"/>
        <w:left w:val="none" w:sz="0" w:space="0" w:color="auto"/>
        <w:bottom w:val="none" w:sz="0" w:space="0" w:color="auto"/>
        <w:right w:val="none" w:sz="0" w:space="0" w:color="auto"/>
      </w:divBdr>
    </w:div>
    <w:div w:id="1445921774">
      <w:bodyDiv w:val="1"/>
      <w:marLeft w:val="0"/>
      <w:marRight w:val="0"/>
      <w:marTop w:val="0"/>
      <w:marBottom w:val="0"/>
      <w:divBdr>
        <w:top w:val="none" w:sz="0" w:space="0" w:color="auto"/>
        <w:left w:val="none" w:sz="0" w:space="0" w:color="auto"/>
        <w:bottom w:val="none" w:sz="0" w:space="0" w:color="auto"/>
        <w:right w:val="none" w:sz="0" w:space="0" w:color="auto"/>
      </w:divBdr>
    </w:div>
    <w:div w:id="20136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t.ca.gov/programs/rail-and-mass-transportation/federal-grants-procurement-management"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riskegomez@tehamartpa.org" TargetMode="Externa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cpw.ca.gov/" TargetMode="Externa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t.ca.gov/programs/local-assistance/guidelines-and-procedures/local-assistance-procedures-manual-lapm"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hamartpa.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ehama.maps.arcgis.com/apps/dashboards/9e2f6cc16cb74dea9fb43b462e4c8f7b"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rampey@tcpw.ca.gov"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A169-FBFF-4F3D-8166-A12A08A4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53</Pages>
  <Words>13142</Words>
  <Characters>74912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Town of Paradise</Company>
  <LinksUpToDate>false</LinksUpToDate>
  <CharactersWithSpaces>87879</CharactersWithSpaces>
  <SharedDoc>false</SharedDoc>
  <HLinks>
    <vt:vector size="36" baseType="variant">
      <vt:variant>
        <vt:i4>3014704</vt:i4>
      </vt:variant>
      <vt:variant>
        <vt:i4>12</vt:i4>
      </vt:variant>
      <vt:variant>
        <vt:i4>0</vt:i4>
      </vt:variant>
      <vt:variant>
        <vt:i4>5</vt:i4>
      </vt:variant>
      <vt:variant>
        <vt:lpwstr>https://dot.ca.gov/programs/local-assistance/guidelines-and-procedures/local-assistance-procedures-manual-lapm</vt:lpwstr>
      </vt:variant>
      <vt:variant>
        <vt:lpwstr/>
      </vt:variant>
      <vt:variant>
        <vt:i4>196702</vt:i4>
      </vt:variant>
      <vt:variant>
        <vt:i4>9</vt:i4>
      </vt:variant>
      <vt:variant>
        <vt:i4>0</vt:i4>
      </vt:variant>
      <vt:variant>
        <vt:i4>5</vt:i4>
      </vt:variant>
      <vt:variant>
        <vt:lpwstr>https://www.caloes.ca.gov/cal-oes-divisions/public-safety-communications/radio-communications-branch/california-radio-interoperable-system-(cris)</vt:lpwstr>
      </vt:variant>
      <vt:variant>
        <vt:lpwstr/>
      </vt:variant>
      <vt:variant>
        <vt:i4>5570683</vt:i4>
      </vt:variant>
      <vt:variant>
        <vt:i4>6</vt:i4>
      </vt:variant>
      <vt:variant>
        <vt:i4>0</vt:i4>
      </vt:variant>
      <vt:variant>
        <vt:i4>5</vt:i4>
      </vt:variant>
      <vt:variant>
        <vt:lpwstr>mailto:jriskegomez@tehamartpa.org</vt:lpwstr>
      </vt:variant>
      <vt:variant>
        <vt:lpwstr/>
      </vt:variant>
      <vt:variant>
        <vt:i4>4194315</vt:i4>
      </vt:variant>
      <vt:variant>
        <vt:i4>3</vt:i4>
      </vt:variant>
      <vt:variant>
        <vt:i4>0</vt:i4>
      </vt:variant>
      <vt:variant>
        <vt:i4>5</vt:i4>
      </vt:variant>
      <vt:variant>
        <vt:lpwstr>http://www.tehamacountypublicworks.ca.gov/transportation</vt:lpwstr>
      </vt:variant>
      <vt:variant>
        <vt:lpwstr/>
      </vt:variant>
      <vt:variant>
        <vt:i4>5177424</vt:i4>
      </vt:variant>
      <vt:variant>
        <vt:i4>0</vt:i4>
      </vt:variant>
      <vt:variant>
        <vt:i4>0</vt:i4>
      </vt:variant>
      <vt:variant>
        <vt:i4>5</vt:i4>
      </vt:variant>
      <vt:variant>
        <vt:lpwstr>http://www.taketrax.com/</vt:lpwstr>
      </vt:variant>
      <vt:variant>
        <vt:lpwstr/>
      </vt:variant>
      <vt:variant>
        <vt:i4>3538990</vt:i4>
      </vt:variant>
      <vt:variant>
        <vt:i4>0</vt:i4>
      </vt:variant>
      <vt:variant>
        <vt:i4>0</vt:i4>
      </vt:variant>
      <vt:variant>
        <vt:i4>5</vt:i4>
      </vt:variant>
      <vt:variant>
        <vt:lpwstr>https://dot.ca.gov/programs/rail-and-mass-transportation/federal-grants-procurement-management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Mattox</dc:creator>
  <cp:keywords/>
  <dc:description/>
  <cp:lastModifiedBy>Blake Rampey</cp:lastModifiedBy>
  <cp:revision>5</cp:revision>
  <cp:lastPrinted>2024-07-11T18:59:00Z</cp:lastPrinted>
  <dcterms:created xsi:type="dcterms:W3CDTF">2026-05-05T20:55:00Z</dcterms:created>
  <dcterms:modified xsi:type="dcterms:W3CDTF">2026-05-06T20:39:00Z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-1735242159</vt:i4>
  </property>
</Properties>
</file>